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383D2A15"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bookmarkStart w:id="0" w:name="_GoBack"/>
      <w:bookmarkEnd w:id="0"/>
      <w:r w:rsidR="0070615A" w:rsidRPr="00830E20">
        <w:rPr>
          <w:lang w:val="en-US"/>
        </w:rPr>
        <w:t>R1-18</w:t>
      </w:r>
      <w:r w:rsidR="00830E20" w:rsidRPr="00830E20">
        <w:rPr>
          <w:lang w:val="en-US"/>
        </w:rPr>
        <w:t>02948</w:t>
      </w:r>
    </w:p>
    <w:p w14:paraId="161050DA" w14:textId="0BD38FD7"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C16FE9">
        <w:rPr>
          <w:lang w:val="en-US"/>
        </w:rPr>
        <w:t xml:space="preserve">February </w:t>
      </w:r>
      <w:r>
        <w:rPr>
          <w:lang w:val="en-US"/>
        </w:rPr>
        <w:t xml:space="preserve">– </w:t>
      </w:r>
      <w:r w:rsidR="00C16FE9">
        <w:rPr>
          <w:lang w:val="en-US"/>
        </w:rPr>
        <w:t>2</w:t>
      </w:r>
      <w:r w:rsidR="00C16FE9" w:rsidRPr="00C16FE9">
        <w:rPr>
          <w:vertAlign w:val="superscript"/>
          <w:lang w:val="en-US"/>
        </w:rPr>
        <w:t>nd</w:t>
      </w:r>
      <w:r w:rsidR="00C16FE9">
        <w:rPr>
          <w:lang w:val="en-US"/>
        </w:rPr>
        <w:t xml:space="preserve"> March</w:t>
      </w:r>
      <w:r w:rsidR="000C5734" w:rsidRPr="000C5734">
        <w:rPr>
          <w:lang w:val="en-US"/>
        </w:rPr>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0419A35" w:rsidR="00E90E49" w:rsidRPr="00327997" w:rsidRDefault="003D3C45" w:rsidP="00327997">
      <w:pPr>
        <w:pStyle w:val="3GPPHeader"/>
      </w:pPr>
      <w:r w:rsidRPr="00327997">
        <w:t>Title:</w:t>
      </w:r>
      <w:r w:rsidR="00E90E49" w:rsidRPr="00327997">
        <w:tab/>
      </w:r>
      <w:r w:rsidR="00A90088">
        <w:t>Remaining details for radio link monitoring</w:t>
      </w:r>
    </w:p>
    <w:p w14:paraId="2D554DE3" w14:textId="435F23B6" w:rsidR="00952A24" w:rsidRPr="00327997" w:rsidRDefault="00952A24" w:rsidP="00327997">
      <w:pPr>
        <w:pStyle w:val="3GPPHeader"/>
      </w:pPr>
      <w:r w:rsidRPr="00327997">
        <w:t>Agenda Item:</w:t>
      </w:r>
      <w:r w:rsidRPr="00327997">
        <w:tab/>
      </w:r>
      <w:r w:rsidR="00CD0D9B" w:rsidRPr="00A90088">
        <w:t>7.</w:t>
      </w:r>
      <w:r w:rsidR="003E269D" w:rsidRPr="00A90088">
        <w:t>1.1.</w:t>
      </w:r>
      <w:r w:rsidR="003E269D">
        <w:t>5.2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F3DEE7E" w:rsidR="00BF7642" w:rsidRPr="00E9149C" w:rsidRDefault="0070615A" w:rsidP="00BF7642">
      <w:pPr>
        <w:pStyle w:val="BodyText"/>
      </w:pPr>
      <w:r>
        <w:t xml:space="preserve">In </w:t>
      </w:r>
      <w:r w:rsidR="00C439E3">
        <w:t>previous RAN1 meetings</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E5CA9A" w14:textId="6FDF7DD2" w:rsidR="005E152A" w:rsidRPr="00C439E3" w:rsidRDefault="00BD1FAA" w:rsidP="00C439E3">
                            <w:pPr>
                              <w:rPr>
                                <w:b/>
                              </w:rPr>
                            </w:pPr>
                            <w:r>
                              <w:rPr>
                                <w:b/>
                                <w:highlight w:val="green"/>
                              </w:rPr>
                              <w:t>Agreement #1</w:t>
                            </w:r>
                            <w:r w:rsidR="005E152A" w:rsidRPr="00C439E3">
                              <w:rPr>
                                <w:b/>
                                <w:highlight w:val="green"/>
                              </w:rPr>
                              <w:t>(RAN1 #91):</w:t>
                            </w:r>
                          </w:p>
                          <w:p w14:paraId="3D9A46A5" w14:textId="77777777" w:rsidR="005E152A" w:rsidRPr="008A5798" w:rsidRDefault="005E152A" w:rsidP="00C439E3">
                            <w:pPr>
                              <w:numPr>
                                <w:ilvl w:val="0"/>
                                <w:numId w:val="17"/>
                              </w:numPr>
                              <w:overflowPunct/>
                              <w:autoSpaceDE/>
                              <w:autoSpaceDN/>
                              <w:adjustRightInd/>
                              <w:spacing w:after="0"/>
                              <w:jc w:val="left"/>
                              <w:textAlignment w:val="auto"/>
                            </w:pPr>
                            <w:r w:rsidRPr="008A5798">
                              <w:t>For value of X:</w:t>
                            </w:r>
                          </w:p>
                          <w:p w14:paraId="6294F378" w14:textId="77777777" w:rsidR="005E152A" w:rsidRPr="008A5798" w:rsidRDefault="005E152A" w:rsidP="00C439E3">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below 3GHz:  X = 2</w:t>
                            </w:r>
                          </w:p>
                          <w:p w14:paraId="074D2008" w14:textId="77777777" w:rsidR="005E152A" w:rsidRPr="008A5798" w:rsidRDefault="005E152A" w:rsidP="00C439E3">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3GHz and below 6GHz: X = 4</w:t>
                            </w:r>
                          </w:p>
                          <w:p w14:paraId="34D299CA" w14:textId="5E280504" w:rsidR="005E152A" w:rsidRDefault="005E152A" w:rsidP="00C439E3">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6GHz: X = [8]</w:t>
                            </w:r>
                          </w:p>
                          <w:p w14:paraId="40554E08" w14:textId="77777777" w:rsidR="005E152A" w:rsidRPr="008A5798" w:rsidRDefault="005E152A" w:rsidP="00C439E3">
                            <w:pPr>
                              <w:pStyle w:val="ListParagraph"/>
                              <w:tabs>
                                <w:tab w:val="left" w:pos="1493"/>
                              </w:tabs>
                              <w:spacing w:after="0"/>
                              <w:ind w:left="1440"/>
                              <w:contextualSpacing w:val="0"/>
                              <w:rPr>
                                <w:rFonts w:ascii="Times New Roman" w:eastAsia="Times New Roman" w:hAnsi="Times New Roman"/>
                                <w:szCs w:val="20"/>
                                <w:lang w:eastAsia="ko-KR"/>
                              </w:rPr>
                            </w:pPr>
                          </w:p>
                          <w:p w14:paraId="49E86307" w14:textId="11A6799F" w:rsidR="005E152A" w:rsidRPr="00C439E3" w:rsidRDefault="00BD1FAA" w:rsidP="003E269D">
                            <w:pPr>
                              <w:rPr>
                                <w:b/>
                                <w:lang w:eastAsia="x-none"/>
                              </w:rPr>
                            </w:pPr>
                            <w:r>
                              <w:rPr>
                                <w:b/>
                                <w:highlight w:val="green"/>
                                <w:lang w:eastAsia="x-none"/>
                              </w:rPr>
                              <w:t>Agreement #2</w:t>
                            </w:r>
                            <w:r w:rsidR="005E152A" w:rsidRPr="00C439E3">
                              <w:rPr>
                                <w:b/>
                                <w:highlight w:val="green"/>
                                <w:lang w:eastAsia="x-none"/>
                              </w:rPr>
                              <w:t>(RAN1 AdHoc 1801):</w:t>
                            </w:r>
                          </w:p>
                          <w:p w14:paraId="732BEC4A" w14:textId="77777777" w:rsidR="005E152A" w:rsidRPr="00EB5A86" w:rsidRDefault="005E152A" w:rsidP="003E269D">
                            <w:pPr>
                              <w:numPr>
                                <w:ilvl w:val="0"/>
                                <w:numId w:val="16"/>
                              </w:numPr>
                              <w:overflowPunct/>
                              <w:autoSpaceDE/>
                              <w:autoSpaceDN/>
                              <w:adjustRightInd/>
                              <w:spacing w:after="0"/>
                              <w:jc w:val="left"/>
                              <w:textAlignment w:val="auto"/>
                            </w:pPr>
                            <w:r w:rsidRPr="00EB5A86">
                              <w:t>Confirm working assumption of maximum of 8 RLM-RSs for FR2 that can be configured for a UE</w:t>
                            </w:r>
                          </w:p>
                          <w:p w14:paraId="7FA05B3E" w14:textId="22BEC193" w:rsidR="005E152A" w:rsidRDefault="005E152A" w:rsidP="00BF7642">
                            <w:pPr>
                              <w:rPr>
                                <w:rFonts w:eastAsia="MS Mincho"/>
                              </w:rPr>
                            </w:pPr>
                          </w:p>
                          <w:p w14:paraId="1804B16C" w14:textId="4AB30CCE" w:rsidR="00BD1FAA" w:rsidRPr="00C075A3" w:rsidRDefault="00BD1FAA" w:rsidP="00BD1FAA">
                            <w:pPr>
                              <w:rPr>
                                <w:highlight w:val="green"/>
                              </w:rPr>
                            </w:pPr>
                            <w:r>
                              <w:rPr>
                                <w:b/>
                                <w:highlight w:val="green"/>
                              </w:rPr>
                              <w:t>Agreement #3</w:t>
                            </w:r>
                            <w:r w:rsidR="004A0F4F">
                              <w:rPr>
                                <w:b/>
                                <w:highlight w:val="green"/>
                              </w:rPr>
                              <w:t xml:space="preserve"> </w:t>
                            </w:r>
                            <w:r>
                              <w:rPr>
                                <w:b/>
                                <w:highlight w:val="green"/>
                              </w:rPr>
                              <w:t>(RAN1 AdHoc 1801, MIMO session):</w:t>
                            </w:r>
                            <w:r w:rsidRPr="00C075A3">
                              <w:rPr>
                                <w:highlight w:val="green"/>
                              </w:rPr>
                              <w:t xml:space="preserve"> </w:t>
                            </w:r>
                          </w:p>
                          <w:p w14:paraId="07174512" w14:textId="77777777" w:rsidR="00BD1FAA" w:rsidRPr="00C075A3" w:rsidRDefault="00BD1FAA" w:rsidP="00BD1FAA">
                            <w:pPr>
                              <w:numPr>
                                <w:ilvl w:val="0"/>
                                <w:numId w:val="19"/>
                              </w:numPr>
                              <w:overflowPunct/>
                              <w:autoSpaceDE/>
                              <w:autoSpaceDN/>
                              <w:adjustRightInd/>
                              <w:spacing w:after="0"/>
                              <w:jc w:val="left"/>
                              <w:textAlignment w:val="auto"/>
                            </w:pPr>
                            <w:r w:rsidRPr="00C075A3">
                              <w:t>From RAN1 perspective, contention-free PRACH-based beam failure recovery is considered unsuccessful when one of the following conditions is met</w:t>
                            </w:r>
                          </w:p>
                          <w:p w14:paraId="22C165EF" w14:textId="77777777" w:rsidR="00BD1FAA" w:rsidRPr="00C075A3" w:rsidRDefault="00BD1FAA" w:rsidP="00BD1FAA">
                            <w:pPr>
                              <w:numPr>
                                <w:ilvl w:val="1"/>
                                <w:numId w:val="19"/>
                              </w:numPr>
                              <w:overflowPunct/>
                              <w:autoSpaceDE/>
                              <w:autoSpaceDN/>
                              <w:adjustRightInd/>
                              <w:spacing w:after="0"/>
                              <w:jc w:val="left"/>
                              <w:textAlignment w:val="auto"/>
                            </w:pPr>
                            <w:r w:rsidRPr="00C075A3">
                              <w:t xml:space="preserve">Upon expiry of </w:t>
                            </w:r>
                            <w:r w:rsidRPr="00C075A3">
                              <w:rPr>
                                <w:i/>
                              </w:rPr>
                              <w:t>Beam-failure-recovery-Timer</w:t>
                            </w:r>
                            <w:r w:rsidRPr="00C075A3">
                              <w:t xml:space="preserve"> </w:t>
                            </w:r>
                          </w:p>
                          <w:p w14:paraId="7070439C" w14:textId="77777777" w:rsidR="00BD1FAA" w:rsidRPr="00C075A3" w:rsidRDefault="00BD1FAA" w:rsidP="00BD1FAA">
                            <w:pPr>
                              <w:numPr>
                                <w:ilvl w:val="1"/>
                                <w:numId w:val="19"/>
                              </w:numPr>
                              <w:overflowPunct/>
                              <w:autoSpaceDE/>
                              <w:autoSpaceDN/>
                              <w:adjustRightInd/>
                              <w:spacing w:after="0"/>
                              <w:jc w:val="left"/>
                              <w:textAlignment w:val="auto"/>
                            </w:pPr>
                            <w:r w:rsidRPr="00C075A3">
                              <w:t>Upon reaching max. # of BFRQ transmissions</w:t>
                            </w:r>
                          </w:p>
                          <w:p w14:paraId="0B14EC43" w14:textId="41DB5F2F" w:rsidR="00BD1FAA" w:rsidRDefault="00BD1FAA" w:rsidP="00BF7642">
                            <w:r>
                              <w:t>Include as part of LS to RAN2</w:t>
                            </w:r>
                          </w:p>
                          <w:p w14:paraId="0522FC84" w14:textId="4E2C65FA" w:rsidR="004A0F4F" w:rsidRPr="004A0F4F" w:rsidRDefault="004A0F4F" w:rsidP="004A0F4F">
                            <w:pPr>
                              <w:rPr>
                                <w:highlight w:val="green"/>
                              </w:rPr>
                            </w:pPr>
                            <w:r w:rsidRPr="008E3655">
                              <w:rPr>
                                <w:b/>
                                <w:highlight w:val="green"/>
                              </w:rPr>
                              <w:t>Agreement</w:t>
                            </w:r>
                            <w:r>
                              <w:rPr>
                                <w:b/>
                                <w:highlight w:val="green"/>
                              </w:rPr>
                              <w:t xml:space="preserve"> #4 (RAN1 AdHoc 1801, MIMO session):</w:t>
                            </w:r>
                            <w:r w:rsidRPr="00C075A3">
                              <w:rPr>
                                <w:highlight w:val="green"/>
                              </w:rPr>
                              <w:t xml:space="preserve"> </w:t>
                            </w:r>
                          </w:p>
                          <w:p w14:paraId="2A3DFB4B" w14:textId="77777777" w:rsidR="004A0F4F" w:rsidRPr="008E3655" w:rsidRDefault="004A0F4F" w:rsidP="004A0F4F">
                            <w:pPr>
                              <w:rPr>
                                <w:i/>
                              </w:rPr>
                            </w:pPr>
                            <w:r w:rsidRPr="008E3655">
                              <w:t xml:space="preserve">Behavior of </w:t>
                            </w:r>
                            <w:r w:rsidRPr="008E3655">
                              <w:rPr>
                                <w:i/>
                              </w:rPr>
                              <w:t>Beam-failure-recovery-Timer</w:t>
                            </w:r>
                          </w:p>
                          <w:p w14:paraId="26DE2D96" w14:textId="77777777" w:rsidR="004A0F4F" w:rsidRPr="008E3655" w:rsidRDefault="004A0F4F" w:rsidP="004A0F4F">
                            <w:pPr>
                              <w:numPr>
                                <w:ilvl w:val="0"/>
                                <w:numId w:val="19"/>
                              </w:numPr>
                              <w:overflowPunct/>
                              <w:autoSpaceDE/>
                              <w:autoSpaceDN/>
                              <w:adjustRightInd/>
                              <w:spacing w:after="0"/>
                              <w:jc w:val="left"/>
                              <w:textAlignment w:val="auto"/>
                            </w:pPr>
                            <w:r w:rsidRPr="008E3655">
                              <w:t xml:space="preserve">Start </w:t>
                            </w:r>
                            <w:r w:rsidRPr="008E3655">
                              <w:rPr>
                                <w:i/>
                              </w:rPr>
                              <w:t>Beam-failure-recovery-Timer</w:t>
                            </w:r>
                            <w:r w:rsidRPr="008E3655">
                              <w:t xml:space="preserve"> upon beam failure detection event declared by UE</w:t>
                            </w:r>
                          </w:p>
                          <w:p w14:paraId="348795F4" w14:textId="77777777" w:rsidR="004A0F4F" w:rsidRDefault="004A0F4F" w:rsidP="004A0F4F">
                            <w:pPr>
                              <w:numPr>
                                <w:ilvl w:val="0"/>
                                <w:numId w:val="19"/>
                              </w:numPr>
                              <w:overflowPunct/>
                              <w:autoSpaceDE/>
                              <w:autoSpaceDN/>
                              <w:adjustRightInd/>
                              <w:spacing w:after="0"/>
                              <w:jc w:val="left"/>
                              <w:textAlignment w:val="auto"/>
                            </w:pPr>
                            <w:r w:rsidRPr="008E3655">
                              <w:t xml:space="preserve">Stop </w:t>
                            </w:r>
                            <w:r w:rsidRPr="008E3655">
                              <w:rPr>
                                <w:i/>
                              </w:rPr>
                              <w:t>Beam-failure-recovery-Timer</w:t>
                            </w:r>
                            <w:r w:rsidRPr="008E3655">
                              <w:t xml:space="preserve"> upon reception of gNB response for beam failure recovery request transmission</w:t>
                            </w:r>
                          </w:p>
                          <w:p w14:paraId="17DF679E" w14:textId="470B12F7" w:rsidR="004A0F4F" w:rsidRPr="00BD1FAA" w:rsidRDefault="004A0F4F" w:rsidP="00BF7642">
                            <w:r>
                              <w:t>Include as part of LS to RAN2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FE5CA9A" w14:textId="6FDF7DD2" w:rsidR="005E152A" w:rsidRPr="00C439E3" w:rsidRDefault="00BD1FAA" w:rsidP="00C439E3">
                      <w:pPr>
                        <w:rPr>
                          <w:b/>
                        </w:rPr>
                      </w:pPr>
                      <w:r>
                        <w:rPr>
                          <w:b/>
                          <w:highlight w:val="green"/>
                        </w:rPr>
                        <w:t>Agreement #1</w:t>
                      </w:r>
                      <w:r w:rsidR="005E152A" w:rsidRPr="00C439E3">
                        <w:rPr>
                          <w:b/>
                          <w:highlight w:val="green"/>
                        </w:rPr>
                        <w:t>(RAN1 #91):</w:t>
                      </w:r>
                    </w:p>
                    <w:p w14:paraId="3D9A46A5" w14:textId="77777777" w:rsidR="005E152A" w:rsidRPr="008A5798" w:rsidRDefault="005E152A" w:rsidP="00C439E3">
                      <w:pPr>
                        <w:numPr>
                          <w:ilvl w:val="0"/>
                          <w:numId w:val="17"/>
                        </w:numPr>
                        <w:overflowPunct/>
                        <w:autoSpaceDE/>
                        <w:autoSpaceDN/>
                        <w:adjustRightInd/>
                        <w:spacing w:after="0"/>
                        <w:jc w:val="left"/>
                        <w:textAlignment w:val="auto"/>
                      </w:pPr>
                      <w:r w:rsidRPr="008A5798">
                        <w:t>For value of X:</w:t>
                      </w:r>
                    </w:p>
                    <w:p w14:paraId="6294F378" w14:textId="77777777" w:rsidR="005E152A" w:rsidRPr="008A5798" w:rsidRDefault="005E152A" w:rsidP="00C439E3">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below 3GHz:  X = 2</w:t>
                      </w:r>
                    </w:p>
                    <w:p w14:paraId="074D2008" w14:textId="77777777" w:rsidR="005E152A" w:rsidRPr="008A5798" w:rsidRDefault="005E152A" w:rsidP="00C439E3">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3GHz and below 6GHz: X = 4</w:t>
                      </w:r>
                    </w:p>
                    <w:p w14:paraId="34D299CA" w14:textId="5E280504" w:rsidR="005E152A" w:rsidRDefault="005E152A" w:rsidP="00C439E3">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6GHz: X = [8]</w:t>
                      </w:r>
                    </w:p>
                    <w:p w14:paraId="40554E08" w14:textId="77777777" w:rsidR="005E152A" w:rsidRPr="008A5798" w:rsidRDefault="005E152A" w:rsidP="00C439E3">
                      <w:pPr>
                        <w:pStyle w:val="ListParagraph"/>
                        <w:tabs>
                          <w:tab w:val="left" w:pos="1493"/>
                        </w:tabs>
                        <w:spacing w:after="0"/>
                        <w:ind w:left="1440"/>
                        <w:contextualSpacing w:val="0"/>
                        <w:rPr>
                          <w:rFonts w:ascii="Times New Roman" w:eastAsia="Times New Roman" w:hAnsi="Times New Roman"/>
                          <w:szCs w:val="20"/>
                          <w:lang w:eastAsia="ko-KR"/>
                        </w:rPr>
                      </w:pPr>
                    </w:p>
                    <w:p w14:paraId="49E86307" w14:textId="11A6799F" w:rsidR="005E152A" w:rsidRPr="00C439E3" w:rsidRDefault="00BD1FAA" w:rsidP="003E269D">
                      <w:pPr>
                        <w:rPr>
                          <w:b/>
                          <w:lang w:eastAsia="x-none"/>
                        </w:rPr>
                      </w:pPr>
                      <w:r>
                        <w:rPr>
                          <w:b/>
                          <w:highlight w:val="green"/>
                          <w:lang w:eastAsia="x-none"/>
                        </w:rPr>
                        <w:t>Agreement #2</w:t>
                      </w:r>
                      <w:r w:rsidR="005E152A" w:rsidRPr="00C439E3">
                        <w:rPr>
                          <w:b/>
                          <w:highlight w:val="green"/>
                          <w:lang w:eastAsia="x-none"/>
                        </w:rPr>
                        <w:t>(RAN1 AdHoc 1801):</w:t>
                      </w:r>
                    </w:p>
                    <w:p w14:paraId="732BEC4A" w14:textId="77777777" w:rsidR="005E152A" w:rsidRPr="00EB5A86" w:rsidRDefault="005E152A" w:rsidP="003E269D">
                      <w:pPr>
                        <w:numPr>
                          <w:ilvl w:val="0"/>
                          <w:numId w:val="16"/>
                        </w:numPr>
                        <w:overflowPunct/>
                        <w:autoSpaceDE/>
                        <w:autoSpaceDN/>
                        <w:adjustRightInd/>
                        <w:spacing w:after="0"/>
                        <w:jc w:val="left"/>
                        <w:textAlignment w:val="auto"/>
                      </w:pPr>
                      <w:r w:rsidRPr="00EB5A86">
                        <w:t>Confirm working assumption of maximum of 8 RLM-RSs for FR2 that can be configured for a UE</w:t>
                      </w:r>
                    </w:p>
                    <w:p w14:paraId="7FA05B3E" w14:textId="22BEC193" w:rsidR="005E152A" w:rsidRDefault="005E152A" w:rsidP="00BF7642">
                      <w:pPr>
                        <w:rPr>
                          <w:rFonts w:eastAsia="MS Mincho"/>
                        </w:rPr>
                      </w:pPr>
                    </w:p>
                    <w:p w14:paraId="1804B16C" w14:textId="4AB30CCE" w:rsidR="00BD1FAA" w:rsidRPr="00C075A3" w:rsidRDefault="00BD1FAA" w:rsidP="00BD1FAA">
                      <w:pPr>
                        <w:rPr>
                          <w:highlight w:val="green"/>
                        </w:rPr>
                      </w:pPr>
                      <w:r>
                        <w:rPr>
                          <w:b/>
                          <w:highlight w:val="green"/>
                        </w:rPr>
                        <w:t>Agreement #3</w:t>
                      </w:r>
                      <w:r w:rsidR="004A0F4F">
                        <w:rPr>
                          <w:b/>
                          <w:highlight w:val="green"/>
                        </w:rPr>
                        <w:t xml:space="preserve"> </w:t>
                      </w:r>
                      <w:r>
                        <w:rPr>
                          <w:b/>
                          <w:highlight w:val="green"/>
                        </w:rPr>
                        <w:t>(RAN1 AdHoc 1801, MIMO session):</w:t>
                      </w:r>
                      <w:r w:rsidRPr="00C075A3">
                        <w:rPr>
                          <w:highlight w:val="green"/>
                        </w:rPr>
                        <w:t xml:space="preserve"> </w:t>
                      </w:r>
                    </w:p>
                    <w:p w14:paraId="07174512" w14:textId="77777777" w:rsidR="00BD1FAA" w:rsidRPr="00C075A3" w:rsidRDefault="00BD1FAA" w:rsidP="00BD1FAA">
                      <w:pPr>
                        <w:numPr>
                          <w:ilvl w:val="0"/>
                          <w:numId w:val="19"/>
                        </w:numPr>
                        <w:overflowPunct/>
                        <w:autoSpaceDE/>
                        <w:autoSpaceDN/>
                        <w:adjustRightInd/>
                        <w:spacing w:after="0"/>
                        <w:jc w:val="left"/>
                        <w:textAlignment w:val="auto"/>
                      </w:pPr>
                      <w:r w:rsidRPr="00C075A3">
                        <w:t>From RAN1 perspective, contention-free PRACH-based beam failure recovery is considered unsuccessful when one of the following conditions is met</w:t>
                      </w:r>
                    </w:p>
                    <w:p w14:paraId="22C165EF" w14:textId="77777777" w:rsidR="00BD1FAA" w:rsidRPr="00C075A3" w:rsidRDefault="00BD1FAA" w:rsidP="00BD1FAA">
                      <w:pPr>
                        <w:numPr>
                          <w:ilvl w:val="1"/>
                          <w:numId w:val="19"/>
                        </w:numPr>
                        <w:overflowPunct/>
                        <w:autoSpaceDE/>
                        <w:autoSpaceDN/>
                        <w:adjustRightInd/>
                        <w:spacing w:after="0"/>
                        <w:jc w:val="left"/>
                        <w:textAlignment w:val="auto"/>
                      </w:pPr>
                      <w:r w:rsidRPr="00C075A3">
                        <w:t xml:space="preserve">Upon expiry of </w:t>
                      </w:r>
                      <w:r w:rsidRPr="00C075A3">
                        <w:rPr>
                          <w:i/>
                        </w:rPr>
                        <w:t>Beam-failure-recovery-Timer</w:t>
                      </w:r>
                      <w:r w:rsidRPr="00C075A3">
                        <w:t xml:space="preserve"> </w:t>
                      </w:r>
                    </w:p>
                    <w:p w14:paraId="7070439C" w14:textId="77777777" w:rsidR="00BD1FAA" w:rsidRPr="00C075A3" w:rsidRDefault="00BD1FAA" w:rsidP="00BD1FAA">
                      <w:pPr>
                        <w:numPr>
                          <w:ilvl w:val="1"/>
                          <w:numId w:val="19"/>
                        </w:numPr>
                        <w:overflowPunct/>
                        <w:autoSpaceDE/>
                        <w:autoSpaceDN/>
                        <w:adjustRightInd/>
                        <w:spacing w:after="0"/>
                        <w:jc w:val="left"/>
                        <w:textAlignment w:val="auto"/>
                      </w:pPr>
                      <w:r w:rsidRPr="00C075A3">
                        <w:t>Upon reaching max. # of BFRQ transmissions</w:t>
                      </w:r>
                    </w:p>
                    <w:p w14:paraId="0B14EC43" w14:textId="41DB5F2F" w:rsidR="00BD1FAA" w:rsidRDefault="00BD1FAA" w:rsidP="00BF7642">
                      <w:r>
                        <w:t>Include as part of LS to RAN2</w:t>
                      </w:r>
                    </w:p>
                    <w:p w14:paraId="0522FC84" w14:textId="4E2C65FA" w:rsidR="004A0F4F" w:rsidRPr="004A0F4F" w:rsidRDefault="004A0F4F" w:rsidP="004A0F4F">
                      <w:pPr>
                        <w:rPr>
                          <w:highlight w:val="green"/>
                        </w:rPr>
                      </w:pPr>
                      <w:r w:rsidRPr="008E3655">
                        <w:rPr>
                          <w:b/>
                          <w:highlight w:val="green"/>
                        </w:rPr>
                        <w:t>Agreement</w:t>
                      </w:r>
                      <w:r>
                        <w:rPr>
                          <w:b/>
                          <w:highlight w:val="green"/>
                        </w:rPr>
                        <w:t xml:space="preserve"> #4 </w:t>
                      </w:r>
                      <w:r>
                        <w:rPr>
                          <w:b/>
                          <w:highlight w:val="green"/>
                        </w:rPr>
                        <w:t>(RAN1 AdHoc 1801, MIMO session):</w:t>
                      </w:r>
                      <w:r w:rsidRPr="00C075A3">
                        <w:rPr>
                          <w:highlight w:val="green"/>
                        </w:rPr>
                        <w:t xml:space="preserve"> </w:t>
                      </w:r>
                    </w:p>
                    <w:p w14:paraId="2A3DFB4B" w14:textId="77777777" w:rsidR="004A0F4F" w:rsidRPr="008E3655" w:rsidRDefault="004A0F4F" w:rsidP="004A0F4F">
                      <w:pPr>
                        <w:rPr>
                          <w:i/>
                        </w:rPr>
                      </w:pPr>
                      <w:r w:rsidRPr="008E3655">
                        <w:t xml:space="preserve">Behavior of </w:t>
                      </w:r>
                      <w:r w:rsidRPr="008E3655">
                        <w:rPr>
                          <w:i/>
                        </w:rPr>
                        <w:t>Beam-failure-recovery-Timer</w:t>
                      </w:r>
                    </w:p>
                    <w:p w14:paraId="26DE2D96" w14:textId="77777777" w:rsidR="004A0F4F" w:rsidRPr="008E3655" w:rsidRDefault="004A0F4F" w:rsidP="004A0F4F">
                      <w:pPr>
                        <w:numPr>
                          <w:ilvl w:val="0"/>
                          <w:numId w:val="19"/>
                        </w:numPr>
                        <w:overflowPunct/>
                        <w:autoSpaceDE/>
                        <w:autoSpaceDN/>
                        <w:adjustRightInd/>
                        <w:spacing w:after="0"/>
                        <w:jc w:val="left"/>
                        <w:textAlignment w:val="auto"/>
                      </w:pPr>
                      <w:r w:rsidRPr="008E3655">
                        <w:t xml:space="preserve">Start </w:t>
                      </w:r>
                      <w:r w:rsidRPr="008E3655">
                        <w:rPr>
                          <w:i/>
                        </w:rPr>
                        <w:t>Beam-failure-recovery-Timer</w:t>
                      </w:r>
                      <w:r w:rsidRPr="008E3655">
                        <w:t xml:space="preserve"> upon beam failure detection event declared by UE</w:t>
                      </w:r>
                    </w:p>
                    <w:p w14:paraId="348795F4" w14:textId="77777777" w:rsidR="004A0F4F" w:rsidRDefault="004A0F4F" w:rsidP="004A0F4F">
                      <w:pPr>
                        <w:numPr>
                          <w:ilvl w:val="0"/>
                          <w:numId w:val="19"/>
                        </w:numPr>
                        <w:overflowPunct/>
                        <w:autoSpaceDE/>
                        <w:autoSpaceDN/>
                        <w:adjustRightInd/>
                        <w:spacing w:after="0"/>
                        <w:jc w:val="left"/>
                        <w:textAlignment w:val="auto"/>
                      </w:pPr>
                      <w:r w:rsidRPr="008E3655">
                        <w:t xml:space="preserve">Stop </w:t>
                      </w:r>
                      <w:r w:rsidRPr="008E3655">
                        <w:rPr>
                          <w:i/>
                        </w:rPr>
                        <w:t>Beam-failure-recovery-Timer</w:t>
                      </w:r>
                      <w:r w:rsidRPr="008E3655">
                        <w:t xml:space="preserve"> upon reception of gNB response for beam failure recovery request transmission</w:t>
                      </w:r>
                    </w:p>
                    <w:p w14:paraId="17DF679E" w14:textId="470B12F7" w:rsidR="004A0F4F" w:rsidRPr="00BD1FAA" w:rsidRDefault="004A0F4F" w:rsidP="00BF7642">
                      <w:r>
                        <w:t>Include as part of LS to RAN2</w:t>
                      </w:r>
                    </w:p>
                  </w:txbxContent>
                </v:textbox>
                <w10:anchorlock/>
              </v:shape>
            </w:pict>
          </mc:Fallback>
        </mc:AlternateContent>
      </w:r>
    </w:p>
    <w:p w14:paraId="45D94F03" w14:textId="2920F1F3" w:rsidR="00477768" w:rsidRPr="00CE0424" w:rsidRDefault="001669D7" w:rsidP="00BF7642">
      <w:pPr>
        <w:pStyle w:val="BodyText"/>
      </w:pPr>
      <w:r>
        <w:t>In this contribution, we address remaining issues for radio link monitoring.</w:t>
      </w:r>
    </w:p>
    <w:p w14:paraId="3CB8F8BC" w14:textId="3634FD3A" w:rsidR="004000E8" w:rsidRDefault="004000E8" w:rsidP="00CE0424">
      <w:pPr>
        <w:pStyle w:val="Heading1"/>
      </w:pPr>
      <w:bookmarkStart w:id="1" w:name="_Ref178064866"/>
      <w:r w:rsidRPr="00CE0424">
        <w:t>Discussion</w:t>
      </w:r>
      <w:bookmarkEnd w:id="1"/>
    </w:p>
    <w:p w14:paraId="29E36886" w14:textId="226E258E" w:rsidR="003E269D" w:rsidRDefault="003E269D" w:rsidP="003E269D">
      <w:pPr>
        <w:pStyle w:val="Heading2"/>
      </w:pPr>
      <w:r>
        <w:t>RLM and intra-cell mobility</w:t>
      </w:r>
    </w:p>
    <w:p w14:paraId="07D6224F" w14:textId="791B6FF2" w:rsidR="00C439E3" w:rsidRDefault="00C439E3" w:rsidP="00C439E3">
      <w:r>
        <w:t xml:space="preserve">Agreements #1 and #2 clarify the number (X) of RLM-RS resources that can be configured for </w:t>
      </w:r>
      <w:r w:rsidR="00FA1A15">
        <w:t xml:space="preserve">RLM and summarized in </w:t>
      </w:r>
      <w:r w:rsidR="00FA1A15">
        <w:fldChar w:fldCharType="begin"/>
      </w:r>
      <w:r w:rsidR="00FA1A15">
        <w:instrText xml:space="preserve"> REF _Ref506453044 \h </w:instrText>
      </w:r>
      <w:r w:rsidR="00FA1A15">
        <w:fldChar w:fldCharType="separate"/>
      </w:r>
      <w:r w:rsidR="0017793E">
        <w:t xml:space="preserve">Table </w:t>
      </w:r>
      <w:r w:rsidR="0017793E">
        <w:rPr>
          <w:noProof/>
        </w:rPr>
        <w:t>1</w:t>
      </w:r>
      <w:r w:rsidR="00FA1A15">
        <w:fldChar w:fldCharType="end"/>
      </w:r>
      <w:r w:rsidR="00FA1A15">
        <w:t>, together with the maximum number of SSB</w:t>
      </w:r>
      <w:r w:rsidR="004E5BC0">
        <w:t>s per cell</w:t>
      </w:r>
      <w:r w:rsidR="00FA1A15">
        <w:t xml:space="preserve"> (L).</w:t>
      </w:r>
    </w:p>
    <w:tbl>
      <w:tblPr>
        <w:tblStyle w:val="TableGrid"/>
        <w:tblW w:w="0" w:type="auto"/>
        <w:jc w:val="center"/>
        <w:tblLook w:val="04A0" w:firstRow="1" w:lastRow="0" w:firstColumn="1" w:lastColumn="0" w:noHBand="0" w:noVBand="1"/>
      </w:tblPr>
      <w:tblGrid>
        <w:gridCol w:w="1982"/>
        <w:gridCol w:w="1841"/>
        <w:gridCol w:w="1984"/>
      </w:tblGrid>
      <w:tr w:rsidR="00FA1A15" w14:paraId="04021BEE" w14:textId="53F5FE17" w:rsidTr="00FA1A15">
        <w:trPr>
          <w:jc w:val="center"/>
        </w:trPr>
        <w:tc>
          <w:tcPr>
            <w:tcW w:w="1982" w:type="dxa"/>
          </w:tcPr>
          <w:p w14:paraId="4548B39E" w14:textId="796621BA" w:rsidR="00FA1A15" w:rsidRDefault="00FA1A15" w:rsidP="00C439E3">
            <w:r>
              <w:t>Carrier frequency (f)</w:t>
            </w:r>
          </w:p>
        </w:tc>
        <w:tc>
          <w:tcPr>
            <w:tcW w:w="1841" w:type="dxa"/>
          </w:tcPr>
          <w:p w14:paraId="111F9775" w14:textId="3C200B47" w:rsidR="00FA1A15" w:rsidRDefault="00FA1A15" w:rsidP="00C439E3">
            <w:r>
              <w:t xml:space="preserve">Maximum number </w:t>
            </w:r>
            <w:r>
              <w:br/>
              <w:t xml:space="preserve">of </w:t>
            </w:r>
            <w:r w:rsidR="004E5BC0">
              <w:t xml:space="preserve">per cell </w:t>
            </w:r>
            <w:r>
              <w:t>SSBs (L)</w:t>
            </w:r>
          </w:p>
        </w:tc>
        <w:tc>
          <w:tcPr>
            <w:tcW w:w="1984" w:type="dxa"/>
          </w:tcPr>
          <w:p w14:paraId="1F218C5A" w14:textId="11580A09" w:rsidR="00FA1A15" w:rsidRDefault="00FA1A15" w:rsidP="00C439E3">
            <w:r>
              <w:t xml:space="preserve">Maximum number </w:t>
            </w:r>
            <w:r>
              <w:br/>
              <w:t>of RLM-RSs (X)</w:t>
            </w:r>
          </w:p>
        </w:tc>
      </w:tr>
      <w:tr w:rsidR="00FA1A15" w14:paraId="1AB973E3" w14:textId="651223EC" w:rsidTr="00FA1A15">
        <w:trPr>
          <w:jc w:val="center"/>
        </w:trPr>
        <w:tc>
          <w:tcPr>
            <w:tcW w:w="1982" w:type="dxa"/>
          </w:tcPr>
          <w:p w14:paraId="5FF62451" w14:textId="6D2D7A9A" w:rsidR="00FA1A15" w:rsidRDefault="00FA1A15" w:rsidP="00C439E3">
            <w:r>
              <w:t>f ≤ 3GHz</w:t>
            </w:r>
          </w:p>
        </w:tc>
        <w:tc>
          <w:tcPr>
            <w:tcW w:w="1841" w:type="dxa"/>
          </w:tcPr>
          <w:p w14:paraId="00DC33BC" w14:textId="03FF9F17" w:rsidR="00FA1A15" w:rsidRDefault="00FA1A15" w:rsidP="00C439E3">
            <w:r>
              <w:t>4</w:t>
            </w:r>
          </w:p>
        </w:tc>
        <w:tc>
          <w:tcPr>
            <w:tcW w:w="1984" w:type="dxa"/>
          </w:tcPr>
          <w:p w14:paraId="03F8FCAA" w14:textId="523938EC" w:rsidR="00FA1A15" w:rsidRDefault="00FA1A15" w:rsidP="00C439E3">
            <w:r>
              <w:t>2</w:t>
            </w:r>
          </w:p>
        </w:tc>
      </w:tr>
      <w:tr w:rsidR="00FA1A15" w14:paraId="742CFD0F" w14:textId="0201B6C4" w:rsidTr="00FA1A15">
        <w:trPr>
          <w:jc w:val="center"/>
        </w:trPr>
        <w:tc>
          <w:tcPr>
            <w:tcW w:w="1982" w:type="dxa"/>
          </w:tcPr>
          <w:p w14:paraId="579F94F8" w14:textId="4B6E47C0" w:rsidR="00FA1A15" w:rsidRDefault="00FA1A15" w:rsidP="00C439E3">
            <w:r>
              <w:t>3GHz &lt; f ≤ 6GHz</w:t>
            </w:r>
          </w:p>
        </w:tc>
        <w:tc>
          <w:tcPr>
            <w:tcW w:w="1841" w:type="dxa"/>
          </w:tcPr>
          <w:p w14:paraId="2022DAB4" w14:textId="1E169291" w:rsidR="00FA1A15" w:rsidRDefault="00FA1A15" w:rsidP="00C439E3">
            <w:r>
              <w:t>8</w:t>
            </w:r>
          </w:p>
        </w:tc>
        <w:tc>
          <w:tcPr>
            <w:tcW w:w="1984" w:type="dxa"/>
          </w:tcPr>
          <w:p w14:paraId="16CD28BD" w14:textId="68D44809" w:rsidR="00FA1A15" w:rsidRDefault="00FA1A15" w:rsidP="00C439E3">
            <w:r>
              <w:t>4</w:t>
            </w:r>
          </w:p>
        </w:tc>
      </w:tr>
      <w:tr w:rsidR="00FA1A15" w14:paraId="734A2798" w14:textId="57A0A298" w:rsidTr="00FA1A15">
        <w:trPr>
          <w:jc w:val="center"/>
        </w:trPr>
        <w:tc>
          <w:tcPr>
            <w:tcW w:w="1982" w:type="dxa"/>
          </w:tcPr>
          <w:p w14:paraId="7CF52833" w14:textId="641DF14C" w:rsidR="00FA1A15" w:rsidRDefault="00FA1A15" w:rsidP="00C439E3">
            <w:r>
              <w:t>F &gt; 6GHz</w:t>
            </w:r>
          </w:p>
        </w:tc>
        <w:tc>
          <w:tcPr>
            <w:tcW w:w="1841" w:type="dxa"/>
          </w:tcPr>
          <w:p w14:paraId="64142130" w14:textId="79C260BC" w:rsidR="00FA1A15" w:rsidRDefault="00FA1A15" w:rsidP="00C439E3">
            <w:r>
              <w:t>64</w:t>
            </w:r>
          </w:p>
        </w:tc>
        <w:tc>
          <w:tcPr>
            <w:tcW w:w="1984" w:type="dxa"/>
          </w:tcPr>
          <w:p w14:paraId="488A7A15" w14:textId="0A5658FC" w:rsidR="00FA1A15" w:rsidRDefault="00FA1A15" w:rsidP="00C439E3">
            <w:r>
              <w:t>8</w:t>
            </w:r>
          </w:p>
        </w:tc>
      </w:tr>
    </w:tbl>
    <w:p w14:paraId="1787AF06" w14:textId="5F55514F" w:rsidR="00C439E3" w:rsidRDefault="00FA1A15" w:rsidP="00FA1A15">
      <w:pPr>
        <w:pStyle w:val="Caption"/>
      </w:pPr>
      <w:bookmarkStart w:id="2" w:name="_Ref506453044"/>
      <w:r>
        <w:lastRenderedPageBreak/>
        <w:t xml:space="preserve">Table </w:t>
      </w:r>
      <w:r>
        <w:fldChar w:fldCharType="begin"/>
      </w:r>
      <w:r>
        <w:instrText xml:space="preserve"> SEQ Table \* ARABIC </w:instrText>
      </w:r>
      <w:r>
        <w:fldChar w:fldCharType="separate"/>
      </w:r>
      <w:r w:rsidR="0017793E">
        <w:rPr>
          <w:noProof/>
        </w:rPr>
        <w:t>1</w:t>
      </w:r>
      <w:r>
        <w:fldChar w:fldCharType="end"/>
      </w:r>
      <w:bookmarkEnd w:id="2"/>
      <w:r>
        <w:t>: Maximum number of SSBs for different carrier frequencies.</w:t>
      </w:r>
    </w:p>
    <w:p w14:paraId="479BC5F4" w14:textId="10947474" w:rsidR="00C439E3" w:rsidRDefault="00FA1A15" w:rsidP="00C439E3">
      <w:r>
        <w:t xml:space="preserve">From </w:t>
      </w:r>
      <w:r>
        <w:fldChar w:fldCharType="begin"/>
      </w:r>
      <w:r>
        <w:instrText xml:space="preserve"> REF _Ref506453044 \h </w:instrText>
      </w:r>
      <w:r>
        <w:fldChar w:fldCharType="separate"/>
      </w:r>
      <w:r w:rsidR="0017793E">
        <w:t xml:space="preserve">Table </w:t>
      </w:r>
      <w:r w:rsidR="0017793E">
        <w:rPr>
          <w:noProof/>
        </w:rPr>
        <w:t>1</w:t>
      </w:r>
      <w:r>
        <w:fldChar w:fldCharType="end"/>
      </w:r>
      <w:r>
        <w:t xml:space="preserve">, it is clear that the number of RLM-RSs may be smaller </w:t>
      </w:r>
      <w:r w:rsidR="00C439E3">
        <w:t xml:space="preserve">than the number of </w:t>
      </w:r>
      <w:r>
        <w:t xml:space="preserve">SSB </w:t>
      </w:r>
      <w:r w:rsidR="00C439E3">
        <w:t>beams possibly providing cell coverage. In</w:t>
      </w:r>
      <w:r>
        <w:t> </w:t>
      </w:r>
      <w:r>
        <w:fldChar w:fldCharType="begin"/>
      </w:r>
      <w:r>
        <w:instrText xml:space="preserve"> REF _Ref506453508 \h </w:instrText>
      </w:r>
      <w:r>
        <w:fldChar w:fldCharType="separate"/>
      </w:r>
      <w:r w:rsidR="0017793E">
        <w:t xml:space="preserve">Figure </w:t>
      </w:r>
      <w:r w:rsidR="0017793E">
        <w:rPr>
          <w:noProof/>
        </w:rPr>
        <w:t>1</w:t>
      </w:r>
      <w:r>
        <w:fldChar w:fldCharType="end"/>
      </w:r>
      <w:r w:rsidR="00C439E3">
        <w:t xml:space="preserve"> this is illustrated for the case of L=8 and X=4 (i.e. for frequencies between 3GHz and 6GHz). Then, if the UE moves within the coverage of that cell, the beams to be used for RLM may need to be re-configured, otherwise the UE wo</w:t>
      </w:r>
      <w:r w:rsidR="00CE48C5">
        <w:t>uld possibly start generating OO</w:t>
      </w:r>
      <w:r w:rsidR="00C439E3">
        <w:t>S events (and possibly declare RLF) even though the UE is still under cell coverage.</w:t>
      </w:r>
      <w:r w:rsidR="00CE48C5">
        <w:t xml:space="preserve"> Since the NW has means to track the UE within the whole coverage area of the cell on L1/L2, the UE may experience quite high data rates.</w:t>
      </w:r>
    </w:p>
    <w:p w14:paraId="15420CF3" w14:textId="77777777" w:rsidR="00FA1A15" w:rsidRDefault="00C439E3" w:rsidP="00FA1A15">
      <w:pPr>
        <w:pStyle w:val="BodyText"/>
        <w:keepNext/>
        <w:jc w:val="center"/>
      </w:pPr>
      <w:r>
        <w:t xml:space="preserve"> </w:t>
      </w:r>
      <w:r w:rsidR="00FA1A15">
        <w:rPr>
          <w:noProof/>
        </w:rPr>
        <w:drawing>
          <wp:inline distT="0" distB="0" distL="0" distR="0" wp14:anchorId="2D03FE6D" wp14:editId="0D446841">
            <wp:extent cx="5580768" cy="2519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3025" cy="2524544"/>
                    </a:xfrm>
                    <a:prstGeom prst="rect">
                      <a:avLst/>
                    </a:prstGeom>
                    <a:noFill/>
                  </pic:spPr>
                </pic:pic>
              </a:graphicData>
            </a:graphic>
          </wp:inline>
        </w:drawing>
      </w:r>
    </w:p>
    <w:p w14:paraId="3E05EB85" w14:textId="2EA536B6" w:rsidR="00C439E3" w:rsidRPr="00FA1A15" w:rsidRDefault="00FA1A15" w:rsidP="00FA1A15">
      <w:pPr>
        <w:pStyle w:val="Caption"/>
        <w:rPr>
          <w:lang w:val="en-US"/>
        </w:rPr>
      </w:pPr>
      <w:bookmarkStart w:id="3" w:name="_Ref506453508"/>
      <w:r>
        <w:t xml:space="preserve">Figure </w:t>
      </w:r>
      <w:r>
        <w:fldChar w:fldCharType="begin"/>
      </w:r>
      <w:r>
        <w:instrText xml:space="preserve"> SEQ Figure \* ARABIC </w:instrText>
      </w:r>
      <w:r>
        <w:fldChar w:fldCharType="separate"/>
      </w:r>
      <w:r w:rsidR="0017793E">
        <w:rPr>
          <w:noProof/>
        </w:rPr>
        <w:t>1</w:t>
      </w:r>
      <w:r>
        <w:fldChar w:fldCharType="end"/>
      </w:r>
      <w:bookmarkEnd w:id="3"/>
      <w:r>
        <w:t xml:space="preserve"> Scenario for frequencies between 3GHz and 6GHz where L=8 and X=4 where the UE moves within a cell.</w:t>
      </w:r>
    </w:p>
    <w:p w14:paraId="6DD167D1" w14:textId="6D37DAB5" w:rsidR="00CE48C5" w:rsidRDefault="00CE48C5" w:rsidP="00C439E3">
      <w:r>
        <w:t>Without any action on the NW side, the UE may then declare RLF, which is clearly undesirable. Since the current agreements state that the RLM-RS are configured using RRC, this would mean that RRC would need to be involved to handle the UE mobility within the cell. This is also undesirable, and it even contradicts RAN2 assumptions on mobility.</w:t>
      </w:r>
    </w:p>
    <w:p w14:paraId="12CE3C28" w14:textId="23D60059" w:rsidR="00886E88" w:rsidRDefault="00886E88" w:rsidP="00886E88">
      <w:pPr>
        <w:pStyle w:val="Observation"/>
      </w:pPr>
      <w:bookmarkStart w:id="4" w:name="_Toc506469854"/>
      <w:r>
        <w:t>Due to the relatively small number of RLM-RSs, intra-cell mobility may require RRC involvement to avoid RLF, which contradicts RAN2 assumptions.</w:t>
      </w:r>
      <w:bookmarkEnd w:id="4"/>
    </w:p>
    <w:p w14:paraId="2487C59B" w14:textId="684FB78A" w:rsidR="00886E88" w:rsidRDefault="00CE48C5" w:rsidP="00C439E3">
      <w:r>
        <w:t xml:space="preserve">To solve this issue, we propose to </w:t>
      </w:r>
      <w:r w:rsidR="00886E88">
        <w:t>rely on MAC CE activation</w:t>
      </w:r>
      <w:r w:rsidR="0086271D">
        <w:t xml:space="preserve"> of RLM-RS resources</w:t>
      </w:r>
      <w:r w:rsidR="00886E88">
        <w:t>, similar to how TCI states are activated in beam management. The UE would only be required to perform RLM on RLM-RS resources, which have been activated by MAC CE. The NW would then configure the UE with a larger number of RLM-RS resources, but then only activate X out of these RLM-RSs. We thus have the following three proposals:</w:t>
      </w:r>
    </w:p>
    <w:p w14:paraId="677F301B" w14:textId="422A3B74" w:rsidR="00886E88" w:rsidRDefault="00886E88" w:rsidP="00886E88">
      <w:pPr>
        <w:pStyle w:val="Proposal"/>
      </w:pPr>
      <w:bookmarkStart w:id="5" w:name="_Toc506470603"/>
      <w:r>
        <w:t>Introduce the possibility to activate RLM-RS resources using MAC CE.</w:t>
      </w:r>
      <w:bookmarkEnd w:id="5"/>
    </w:p>
    <w:p w14:paraId="6937A9DB" w14:textId="7C83C0A1" w:rsidR="00886E88" w:rsidRDefault="00886E88" w:rsidP="00886E88">
      <w:pPr>
        <w:pStyle w:val="Proposal"/>
      </w:pPr>
      <w:bookmarkStart w:id="6" w:name="_Toc506470604"/>
      <w:r>
        <w:t>The UE is only required to monitor up to X activated RLM-RS resources.</w:t>
      </w:r>
      <w:bookmarkEnd w:id="6"/>
    </w:p>
    <w:p w14:paraId="3E7B6D3A" w14:textId="24E9E5A5" w:rsidR="00886E88" w:rsidRDefault="00886E88" w:rsidP="00886E88">
      <w:pPr>
        <w:pStyle w:val="Proposal"/>
      </w:pPr>
      <w:bookmarkStart w:id="7" w:name="_Toc506470605"/>
      <w:r>
        <w:t>Increase the maximum number of configured RLM-RS resources to be equal to the maximum number of SS/PBCH blocks per cell.</w:t>
      </w:r>
      <w:bookmarkEnd w:id="7"/>
    </w:p>
    <w:p w14:paraId="0308F4F0" w14:textId="06B741B3" w:rsidR="00886E88" w:rsidRDefault="0086271D" w:rsidP="00C439E3">
      <w:r>
        <w:t>Before any RLM-RSs have been activated by MAC CE, the UE is not required to perform RLM.</w:t>
      </w:r>
      <w:r w:rsidR="005E152A">
        <w:t xml:space="preserve"> The actual MAC CE signalling details can be left to RAN2.</w:t>
      </w:r>
    </w:p>
    <w:p w14:paraId="18D1492D" w14:textId="3FEC76CE" w:rsidR="00886E88" w:rsidRDefault="0086271D" w:rsidP="00C439E3">
      <w:r>
        <w:t xml:space="preserve">One alternative modification of the RLM procedure, which addresses the same issue is described in </w:t>
      </w:r>
      <w:r>
        <w:fldChar w:fldCharType="begin"/>
      </w:r>
      <w:r>
        <w:instrText xml:space="preserve"> REF _Ref506459209 \r \h </w:instrText>
      </w:r>
      <w:r>
        <w:fldChar w:fldCharType="separate"/>
      </w:r>
      <w:r w:rsidR="0017793E">
        <w:t>[3]</w:t>
      </w:r>
      <w:r>
        <w:fldChar w:fldCharType="end"/>
      </w:r>
      <w:r>
        <w:t xml:space="preserve">. In this contribution, it is proposed that the UE would perform RLM based on an RS which is implicitly defined by the RS in the active TCI state of the PDCCH. The problem with that approach is that is not directly applicable for sub6 operation, </w:t>
      </w:r>
      <w:r w:rsidR="00251334">
        <w:t xml:space="preserve">e.g., for the scenario </w:t>
      </w:r>
      <w:r>
        <w:t xml:space="preserve">shown in </w:t>
      </w:r>
      <w:r>
        <w:fldChar w:fldCharType="begin"/>
      </w:r>
      <w:r>
        <w:instrText xml:space="preserve"> REF _Ref506453508 \h </w:instrText>
      </w:r>
      <w:r>
        <w:fldChar w:fldCharType="separate"/>
      </w:r>
      <w:r w:rsidR="0017793E">
        <w:t xml:space="preserve">Figure </w:t>
      </w:r>
      <w:r w:rsidR="0017793E">
        <w:rPr>
          <w:noProof/>
        </w:rPr>
        <w:t>1</w:t>
      </w:r>
      <w:r>
        <w:fldChar w:fldCharType="end"/>
      </w:r>
      <w:r w:rsidR="00251334">
        <w:t>. A straightforward extension of the TCI framework to this case would also put additional requirements on the RSs in the TCI states. For instance, it is likely that the first RS in a TCI state will contain a TRS configuration, for which RLM is not defined. Furthermore, the solution in </w:t>
      </w:r>
      <w:r w:rsidR="00251334">
        <w:fldChar w:fldCharType="begin"/>
      </w:r>
      <w:r w:rsidR="00251334">
        <w:instrText xml:space="preserve"> REF _Ref506459209 \r \h </w:instrText>
      </w:r>
      <w:r w:rsidR="00251334">
        <w:fldChar w:fldCharType="separate"/>
      </w:r>
      <w:r w:rsidR="0017793E">
        <w:t>[3]</w:t>
      </w:r>
      <w:r w:rsidR="00251334">
        <w:fldChar w:fldCharType="end"/>
      </w:r>
      <w:r w:rsidR="00251334">
        <w:t xml:space="preserve"> will not work when the system operates without beam indication. </w:t>
      </w:r>
    </w:p>
    <w:p w14:paraId="04A581D1" w14:textId="00F510CD" w:rsidR="00C439E3" w:rsidRDefault="00251334" w:rsidP="00251334">
      <w:pPr>
        <w:pStyle w:val="Heading2"/>
      </w:pPr>
      <w:r>
        <w:lastRenderedPageBreak/>
        <w:t>Reduce</w:t>
      </w:r>
      <w:r w:rsidR="005E152A">
        <w:t>d</w:t>
      </w:r>
      <w:r>
        <w:t xml:space="preserve"> indication periodicity</w:t>
      </w:r>
    </w:p>
    <w:p w14:paraId="42C5256D" w14:textId="32F59D53" w:rsidR="00251334" w:rsidRDefault="00C500EF" w:rsidP="00251334">
      <w:r>
        <w:t>I</w:t>
      </w:r>
      <w:r w:rsidR="005E152A">
        <w:t xml:space="preserve">n </w:t>
      </w:r>
      <w:r w:rsidR="005E152A">
        <w:fldChar w:fldCharType="begin"/>
      </w:r>
      <w:r w:rsidR="005E152A">
        <w:instrText xml:space="preserve"> REF _Ref506462812 \r \h </w:instrText>
      </w:r>
      <w:r w:rsidR="005E152A">
        <w:fldChar w:fldCharType="separate"/>
      </w:r>
      <w:r w:rsidR="005E152A">
        <w:t>[2]</w:t>
      </w:r>
      <w:r w:rsidR="005E152A">
        <w:fldChar w:fldCharType="end"/>
      </w:r>
      <w:r w:rsidR="005E152A">
        <w:t>, the indication periodicity of the RLM indications is described.</w:t>
      </w:r>
    </w:p>
    <w:p w14:paraId="13A14AD4" w14:textId="07AC6921" w:rsidR="005E152A" w:rsidRDefault="005E152A" w:rsidP="00251334">
      <w:r>
        <w:rPr>
          <w:noProof/>
        </w:rPr>
        <mc:AlternateContent>
          <mc:Choice Requires="wps">
            <w:drawing>
              <wp:inline distT="0" distB="0" distL="0" distR="0" wp14:anchorId="201A57DD" wp14:editId="7184DB08">
                <wp:extent cx="6315075" cy="876300"/>
                <wp:effectExtent l="0" t="0" r="28575" b="16510"/>
                <wp:docPr id="3" name="Text Box 3"/>
                <wp:cNvGraphicFramePr/>
                <a:graphic xmlns:a="http://schemas.openxmlformats.org/drawingml/2006/main">
                  <a:graphicData uri="http://schemas.microsoft.com/office/word/2010/wordprocessingShape">
                    <wps:wsp>
                      <wps:cNvSpPr txBox="1"/>
                      <wps:spPr>
                        <a:xfrm>
                          <a:off x="0" y="0"/>
                          <a:ext cx="6315075" cy="876300"/>
                        </a:xfrm>
                        <a:prstGeom prst="rect">
                          <a:avLst/>
                        </a:prstGeom>
                        <a:solidFill>
                          <a:schemeClr val="lt1"/>
                        </a:solidFill>
                        <a:ln w="6350">
                          <a:solidFill>
                            <a:prstClr val="black"/>
                          </a:solidFill>
                        </a:ln>
                      </wps:spPr>
                      <wps:txbx>
                        <w:txbxContent>
                          <w:p w14:paraId="650C5192" w14:textId="26EBB757" w:rsidR="005E152A" w:rsidRDefault="005E152A">
                            <w:pPr>
                              <w:rPr>
                                <w:lang w:val="sv-SE"/>
                              </w:rPr>
                            </w:pPr>
                            <w:r w:rsidRPr="005E152A">
                              <w:rPr>
                                <w:highlight w:val="green"/>
                                <w:lang w:val="sv-SE"/>
                              </w:rPr>
                              <w:t>Extract fr</w:t>
                            </w:r>
                            <w:r>
                              <w:rPr>
                                <w:highlight w:val="green"/>
                                <w:lang w:val="sv-SE"/>
                              </w:rPr>
                              <w:t>o</w:t>
                            </w:r>
                            <w:r w:rsidRPr="005E152A">
                              <w:rPr>
                                <w:highlight w:val="green"/>
                                <w:lang w:val="sv-SE"/>
                              </w:rPr>
                              <w:t>m 38.213, section 5:</w:t>
                            </w:r>
                          </w:p>
                          <w:p w14:paraId="2766333E" w14:textId="71B9FA57" w:rsidR="005E152A" w:rsidRPr="005E152A" w:rsidRDefault="005E152A">
                            <w:pPr>
                              <w:rPr>
                                <w:lang w:val="en-US"/>
                              </w:rPr>
                            </w:pPr>
                            <w:r>
                              <w:t>The UE determines the indication period as</w:t>
                            </w:r>
                            <w:r>
                              <w:rPr>
                                <w:lang w:val="en-US"/>
                              </w:rPr>
                              <w:t xml:space="preserve"> the maximum between the shortest periodicity for radio link monitoring resources</w:t>
                            </w:r>
                            <w:r>
                              <w:rPr>
                                <w:iCs/>
                              </w:rPr>
                              <w:t xml:space="preserve"> and 10 msec.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1A57DD" id="Text Box 3" o:spid="_x0000_s1027" type="#_x0000_t202" style="width:497.2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" fillcolor="white [3201]" strokeweight=".5pt">
                <v:textbox style="mso-fit-shape-to-text:t">
                  <w:txbxContent>
                    <w:p w14:paraId="650C5192" w14:textId="26EBB757" w:rsidR="005E152A" w:rsidRDefault="005E152A">
                      <w:pPr>
                        <w:rPr>
                          <w:lang w:val="sv-SE"/>
                        </w:rPr>
                      </w:pPr>
                      <w:r w:rsidRPr="005E152A">
                        <w:rPr>
                          <w:highlight w:val="green"/>
                          <w:lang w:val="sv-SE"/>
                        </w:rPr>
                        <w:t>Extract fr</w:t>
                      </w:r>
                      <w:r>
                        <w:rPr>
                          <w:highlight w:val="green"/>
                          <w:lang w:val="sv-SE"/>
                        </w:rPr>
                        <w:t>o</w:t>
                      </w:r>
                      <w:r w:rsidRPr="005E152A">
                        <w:rPr>
                          <w:highlight w:val="green"/>
                          <w:lang w:val="sv-SE"/>
                        </w:rPr>
                        <w:t>m 38.213, section 5:</w:t>
                      </w:r>
                    </w:p>
                    <w:p w14:paraId="2766333E" w14:textId="71B9FA57" w:rsidR="005E152A" w:rsidRPr="005E152A" w:rsidRDefault="005E152A">
                      <w:pPr>
                        <w:rPr>
                          <w:lang w:val="en-US"/>
                        </w:rPr>
                      </w:pPr>
                      <w:r>
                        <w:t>The UE determines the indication period as</w:t>
                      </w:r>
                      <w:r>
                        <w:rPr>
                          <w:lang w:val="en-US"/>
                        </w:rPr>
                        <w:t xml:space="preserve"> the maximum between the shortest periodicity for radio link monitoring resources</w:t>
                      </w:r>
                      <w:r>
                        <w:rPr>
                          <w:iCs/>
                        </w:rPr>
                        <w:t xml:space="preserve"> and 10 msec.</w:t>
                      </w:r>
                    </w:p>
                  </w:txbxContent>
                </v:textbox>
                <w10:anchorlock/>
              </v:shape>
            </w:pict>
          </mc:Fallback>
        </mc:AlternateContent>
      </w:r>
    </w:p>
    <w:p w14:paraId="7C49CB36" w14:textId="3970D7A9" w:rsidR="005E152A" w:rsidRDefault="005E152A" w:rsidP="00251334">
      <w:r>
        <w:t xml:space="preserve">The choice of 10ms as the indication periodicity is a left-over from LTE, where the indication was performed once per radio frame. In LTE, it was relevant to provide indications once per frame, since there was always an RS to perform the measurement on. For NR, this has modified to take the periodicity of the RSs into account, since RS periodicity may be larger than 10ms. Still, indications may be performed once every 10ms, if the RS periodicity is short enough, and the UE would have to be dimensioned for that periodicity. </w:t>
      </w:r>
    </w:p>
    <w:p w14:paraId="390E52B9" w14:textId="60EBC574" w:rsidR="005E152A" w:rsidRDefault="005E152A" w:rsidP="00251334">
      <w:r>
        <w:t xml:space="preserve">In our understanding, having as frequent indications as 10ms is not motivated. </w:t>
      </w:r>
      <w:r w:rsidR="002773F2">
        <w:t>Although</w:t>
      </w:r>
      <w:r>
        <w:t xml:space="preserve"> the evaluation period is not yet</w:t>
      </w:r>
      <w:r w:rsidR="002773F2">
        <w:t xml:space="preserve"> settled in RAN4, it is reasonable to assume that it will be larger than 100ms. In that case, providing an indication once every 10ms is for sure unnecessarily complex; note that RLM is meant to capture only slow variations in the propagation conditions anyway. </w:t>
      </w:r>
    </w:p>
    <w:p w14:paraId="5002CACE" w14:textId="0E625C24" w:rsidR="002773F2" w:rsidRDefault="002773F2" w:rsidP="00251334">
      <w:r>
        <w:t xml:space="preserve">To reduce UE complexity for RLM, we propose to increase the minimum </w:t>
      </w:r>
      <w:r w:rsidR="001D0E11">
        <w:t xml:space="preserve">periodicity to 20ms. This would limit the </w:t>
      </w:r>
      <w:r w:rsidR="00AD0B4E">
        <w:t>maximum complexity of the RLM processing the UE would have to perform:</w:t>
      </w:r>
    </w:p>
    <w:p w14:paraId="6E75800E" w14:textId="783C8BE8" w:rsidR="00AD0B4E" w:rsidRPr="00251334" w:rsidRDefault="0084776C" w:rsidP="0084776C">
      <w:pPr>
        <w:pStyle w:val="Proposal"/>
      </w:pPr>
      <w:bookmarkStart w:id="8" w:name="_Toc506470606"/>
      <w:r>
        <w:t>Increase the minimum periodicity of RLM indications to 20ms.</w:t>
      </w:r>
      <w:bookmarkEnd w:id="8"/>
    </w:p>
    <w:p w14:paraId="0A286937" w14:textId="7F85C179" w:rsidR="00251334" w:rsidRDefault="00251334" w:rsidP="00251334">
      <w:pPr>
        <w:pStyle w:val="Heading2"/>
      </w:pPr>
      <w:r>
        <w:t>Relation between RLM</w:t>
      </w:r>
      <w:r w:rsidR="00F054C2">
        <w:t xml:space="preserve">, RLF, </w:t>
      </w:r>
      <w:r>
        <w:t>beam failure detection</w:t>
      </w:r>
      <w:r w:rsidR="00F054C2">
        <w:t>, and beam recovery</w:t>
      </w:r>
    </w:p>
    <w:p w14:paraId="13401860" w14:textId="77777777" w:rsidR="00F054C2" w:rsidRDefault="0084776C" w:rsidP="0084776C">
      <w:r>
        <w:t xml:space="preserve">In previous RAN1 meetings, there has been some discussion on the relation between radio link monitoring and beam failure detection. These two procedures have some similarities: </w:t>
      </w:r>
    </w:p>
    <w:p w14:paraId="24ABE671" w14:textId="1B07AF7E" w:rsidR="00F054C2" w:rsidRDefault="00F054C2" w:rsidP="00F054C2">
      <w:pPr>
        <w:pStyle w:val="ListParagraph"/>
        <w:numPr>
          <w:ilvl w:val="0"/>
          <w:numId w:val="18"/>
        </w:numPr>
      </w:pPr>
      <w:r>
        <w:t xml:space="preserve">Both procedures </w:t>
      </w:r>
      <w:r w:rsidR="0084776C">
        <w:t>monitor one or more reference signals to estimate control channel quality</w:t>
      </w:r>
      <w:r w:rsidR="0079676C">
        <w:t>, using the same criterion.</w:t>
      </w:r>
    </w:p>
    <w:p w14:paraId="7A8D73DF" w14:textId="3B1178DE" w:rsidR="0079676C" w:rsidRDefault="00F054C2" w:rsidP="00F054C2">
      <w:pPr>
        <w:pStyle w:val="ListParagraph"/>
        <w:numPr>
          <w:ilvl w:val="0"/>
          <w:numId w:val="18"/>
        </w:numPr>
      </w:pPr>
      <w:r>
        <w:t>Both procedures initiate a random access procedure</w:t>
      </w:r>
      <w:r w:rsidR="0079676C">
        <w:t>,</w:t>
      </w:r>
      <w:r>
        <w:t xml:space="preserve"> under some conditions</w:t>
      </w:r>
    </w:p>
    <w:p w14:paraId="04EBACF5" w14:textId="2079CD47" w:rsidR="0079676C" w:rsidRDefault="0079676C" w:rsidP="0079676C">
      <w:r>
        <w:t xml:space="preserve">In </w:t>
      </w:r>
      <w:r>
        <w:fldChar w:fldCharType="begin"/>
      </w:r>
      <w:r>
        <w:instrText xml:space="preserve"> REF _Ref506465131 \r \h </w:instrText>
      </w:r>
      <w:r>
        <w:fldChar w:fldCharType="separate"/>
      </w:r>
      <w:r>
        <w:t>[4]</w:t>
      </w:r>
      <w:r>
        <w:fldChar w:fldCharType="end"/>
      </w:r>
      <w:r>
        <w:t>, several proposals on interactions between the two procedures are listed. Essentially, the interaction is about providing aperiodic indications to the RLM/RLF procedure based on the outcome of the beam recovery procedure.</w:t>
      </w:r>
    </w:p>
    <w:p w14:paraId="7BC4E3AC" w14:textId="2B984F58" w:rsidR="0079676C" w:rsidRDefault="0079676C" w:rsidP="0079676C">
      <w:pPr>
        <w:pStyle w:val="Heading3"/>
      </w:pPr>
      <w:r>
        <w:t>Aperiodic indications based on successful beam recovery</w:t>
      </w:r>
    </w:p>
    <w:p w14:paraId="341E5C64" w14:textId="5E242019" w:rsidR="006B5EEF" w:rsidRDefault="0079676C" w:rsidP="0079676C">
      <w:r>
        <w:t xml:space="preserve">Once the UE has performed a successful beam recovery, it has re-established connection with the NW. The NW is again capable of reaching the UE with a PDCCH transmission. </w:t>
      </w:r>
      <w:r w:rsidR="006B5EEF">
        <w:t xml:space="preserve">In this case, one possibility could be </w:t>
      </w:r>
      <w:r w:rsidR="001D0D69">
        <w:t xml:space="preserve">to provide indications to RRC to affect the </w:t>
      </w:r>
      <w:r w:rsidR="006B5EEF">
        <w:t>RLM</w:t>
      </w:r>
      <w:r w:rsidR="001D0D69">
        <w:t xml:space="preserve"> procedure, e.g., to provide one or more aperiodic in-sync indications to RRC, or even to stop the T310 timer if it is running. </w:t>
      </w:r>
    </w:p>
    <w:p w14:paraId="2C140B74" w14:textId="20970132" w:rsidR="00BD1FAA" w:rsidRDefault="001D0D69" w:rsidP="0079676C">
      <w:r>
        <w:t xml:space="preserve">It should be noted that the information the NW has obtained as a result of the beam recovery procedure can be used to adjust the RLM procedure as well, i.e., to update the RLM-RS resources of the UE. After such an update, the RLM procedure in the UE should start providing in-sync indications </w:t>
      </w:r>
      <w:r w:rsidR="00BD1FAA">
        <w:t>which would directly impact RRC, and lead to that the UE avoids RLF. Hence, an explicit impact to the RLM/RLF procedure is unnecessary:</w:t>
      </w:r>
    </w:p>
    <w:p w14:paraId="44CF7F66" w14:textId="104004B3" w:rsidR="00BD1FAA" w:rsidRDefault="00BD1FAA" w:rsidP="0079676C">
      <w:pPr>
        <w:pStyle w:val="Observation"/>
      </w:pPr>
      <w:bookmarkStart w:id="9" w:name="_Toc506469855"/>
      <w:r>
        <w:t>In a well-configured system, the indications based on the potentially reconfigured RLM-RS should stop indicating radio link problems after successful beam recovery.</w:t>
      </w:r>
      <w:r w:rsidRPr="00BD1FAA">
        <w:t xml:space="preserve"> </w:t>
      </w:r>
      <w:r>
        <w:t>Explicit indications from successful beam recovery are thus unnecessary.</w:t>
      </w:r>
      <w:bookmarkEnd w:id="9"/>
    </w:p>
    <w:p w14:paraId="6EE42199" w14:textId="4A36CE8C" w:rsidR="001D0D69" w:rsidRDefault="00BD1FAA" w:rsidP="0079676C">
      <w:r>
        <w:t xml:space="preserve">On the other hand, such explicit indications are not harmful. </w:t>
      </w:r>
    </w:p>
    <w:p w14:paraId="73FBD0A1" w14:textId="7C6A3E1F" w:rsidR="0079676C" w:rsidRDefault="0079676C" w:rsidP="0079676C">
      <w:pPr>
        <w:pStyle w:val="Heading3"/>
      </w:pPr>
      <w:r>
        <w:t>Aperiodic indications based on unsuccessful beam recovery</w:t>
      </w:r>
    </w:p>
    <w:p w14:paraId="01C85E36" w14:textId="051231EF" w:rsidR="0079676C" w:rsidRDefault="00BD1FAA" w:rsidP="0079676C">
      <w:r>
        <w:t>Declaring radio link failure is associated with a rather high cost. The UE will perform cell-</w:t>
      </w:r>
      <w:r w:rsidR="003519C6">
        <w:t>reselection and</w:t>
      </w:r>
      <w:r>
        <w:t xml:space="preserve"> perform RRC re-establishment. Due to this high cost, RLF is not declared until the T310 timer expires. The </w:t>
      </w:r>
      <w:r w:rsidR="003519C6">
        <w:t xml:space="preserve">reason for having </w:t>
      </w:r>
      <w:r w:rsidR="003519C6">
        <w:lastRenderedPageBreak/>
        <w:t>the timer is that the serving cell may improve without any action from the NW: the UE may simply come out of a coverage hole. In fact, this often happens in today’s LTE deployments.</w:t>
      </w:r>
    </w:p>
    <w:p w14:paraId="63D95EB5" w14:textId="216E0A28" w:rsidR="00F829D1" w:rsidRDefault="00F829D1" w:rsidP="0079676C">
      <w:r>
        <w:t>In agreement #3, RAN1 defined unsuccessful contention-free beam recovery when either of two conditions was fulfilled:</w:t>
      </w:r>
    </w:p>
    <w:p w14:paraId="15886BD6" w14:textId="2435A0B6" w:rsidR="00F829D1" w:rsidRDefault="00F829D1" w:rsidP="00F829D1">
      <w:pPr>
        <w:pStyle w:val="ListParagraph"/>
        <w:numPr>
          <w:ilvl w:val="0"/>
          <w:numId w:val="21"/>
        </w:numPr>
      </w:pPr>
      <w:r>
        <w:t>The maximum number of beam recovery request transmissions was reached</w:t>
      </w:r>
    </w:p>
    <w:p w14:paraId="386336AA" w14:textId="04578226" w:rsidR="00F829D1" w:rsidRDefault="00F829D1" w:rsidP="00F829D1">
      <w:pPr>
        <w:pStyle w:val="ListParagraph"/>
        <w:numPr>
          <w:ilvl w:val="0"/>
          <w:numId w:val="21"/>
        </w:numPr>
      </w:pPr>
      <w:r>
        <w:t>The beam failure recovery timer expired</w:t>
      </w:r>
    </w:p>
    <w:p w14:paraId="4B319DE3" w14:textId="77777777" w:rsidR="004A0F4F" w:rsidRDefault="00F829D1" w:rsidP="0079676C">
      <w:r>
        <w:t>Condition 1. is similar to a failed random access procedure, which triggers RLF according to the current specification.</w:t>
      </w:r>
      <w:r w:rsidR="004A0F4F">
        <w:t xml:space="preserve"> Here the UE has found a candidate beam which is good enough, but the NW does not respond to the request.</w:t>
      </w:r>
      <w:r>
        <w:t xml:space="preserve"> </w:t>
      </w:r>
    </w:p>
    <w:p w14:paraId="39A15904" w14:textId="4E2C0B7F" w:rsidR="00F829D1" w:rsidRDefault="004A0F4F" w:rsidP="0079676C">
      <w:r>
        <w:t xml:space="preserve">In addition, condition 2. indicates that there are no candidate beams available that are good enough. However, this </w:t>
      </w:r>
      <w:r w:rsidR="007144F0">
        <w:t>fact should not lead to RLF: we are still counting on that the situation will improve without any actions, just as in LTE. Not until T310 expires, the UE should declare RLF. Based on this discussion, we propose</w:t>
      </w:r>
    </w:p>
    <w:p w14:paraId="7C5E9E7B" w14:textId="75A9E162" w:rsidR="00F829D1" w:rsidRPr="0084776C" w:rsidRDefault="007144F0" w:rsidP="0079676C">
      <w:pPr>
        <w:pStyle w:val="Proposal"/>
      </w:pPr>
      <w:bookmarkStart w:id="10" w:name="_Toc506470607"/>
      <w:r>
        <w:t>Unsuccessful beam recovery should not have any explicit impact on the RLM/RLF procedure.</w:t>
      </w:r>
      <w:bookmarkEnd w:id="10"/>
      <w:r>
        <w:t xml:space="preserve"> </w:t>
      </w:r>
    </w:p>
    <w:p w14:paraId="6C2AD823" w14:textId="1BC1EC2E" w:rsidR="00251334" w:rsidRDefault="00251334" w:rsidP="00251334">
      <w:pPr>
        <w:pStyle w:val="Heading2"/>
      </w:pPr>
      <w:r>
        <w:t>RLM based on CSI-RS during C-DRX</w:t>
      </w:r>
    </w:p>
    <w:p w14:paraId="798E5096" w14:textId="243190FB" w:rsidR="00DA49B1" w:rsidRPr="00DA49B1" w:rsidRDefault="00DA49B1" w:rsidP="00DA49B1">
      <w:r>
        <w:t xml:space="preserve">Radio link monitoring in C-DRX is described in </w:t>
      </w:r>
      <w:r>
        <w:fldChar w:fldCharType="begin"/>
      </w:r>
      <w:r>
        <w:instrText xml:space="preserve"> REF _Ref506462812 \r \h </w:instrText>
      </w:r>
      <w:r>
        <w:fldChar w:fldCharType="separate"/>
      </w:r>
      <w:r>
        <w:t>[2]</w:t>
      </w:r>
      <w:r>
        <w:fldChar w:fldCharType="end"/>
      </w:r>
      <w:r>
        <w:t>:</w:t>
      </w:r>
    </w:p>
    <w:p w14:paraId="08B15CE6" w14:textId="654265E7" w:rsidR="00251334" w:rsidRDefault="00DA49B1" w:rsidP="00251334">
      <w:r>
        <w:rPr>
          <w:noProof/>
        </w:rPr>
        <mc:AlternateContent>
          <mc:Choice Requires="wps">
            <w:drawing>
              <wp:inline distT="0" distB="0" distL="0" distR="0" wp14:anchorId="429281E8" wp14:editId="63109965">
                <wp:extent cx="5953125" cy="1085850"/>
                <wp:effectExtent l="0" t="0" r="28575" b="10160"/>
                <wp:docPr id="4" name="Text Box 4"/>
                <wp:cNvGraphicFramePr/>
                <a:graphic xmlns:a="http://schemas.openxmlformats.org/drawingml/2006/main">
                  <a:graphicData uri="http://schemas.microsoft.com/office/word/2010/wordprocessingShape">
                    <wps:wsp>
                      <wps:cNvSpPr txBox="1"/>
                      <wps:spPr>
                        <a:xfrm>
                          <a:off x="0" y="0"/>
                          <a:ext cx="5953125" cy="1085850"/>
                        </a:xfrm>
                        <a:prstGeom prst="rect">
                          <a:avLst/>
                        </a:prstGeom>
                        <a:solidFill>
                          <a:schemeClr val="lt1"/>
                        </a:solidFill>
                        <a:ln w="6350">
                          <a:solidFill>
                            <a:prstClr val="black"/>
                          </a:solidFill>
                        </a:ln>
                      </wps:spPr>
                      <wps:txbx>
                        <w:txbxContent>
                          <w:p w14:paraId="4DE29BFC" w14:textId="727C01CC" w:rsidR="00DA49B1" w:rsidRPr="00DA49B1" w:rsidRDefault="00DA49B1">
                            <w:pPr>
                              <w:rPr>
                                <w:lang w:val="en-US"/>
                              </w:rPr>
                            </w:pPr>
                            <w:r w:rsidRPr="00DA49B1">
                              <w:rPr>
                                <w:highlight w:val="green"/>
                                <w:lang w:val="en-US"/>
                              </w:rPr>
                              <w:t>Extract from 38.213, section 5:</w:t>
                            </w:r>
                          </w:p>
                          <w:p w14:paraId="1A5DE7D2" w14:textId="696B96F9" w:rsidR="00DA49B1" w:rsidRPr="00DA49B1" w:rsidRDefault="00DA49B1">
                            <w:pPr>
                              <w:rPr>
                                <w:lang w:val="en-US"/>
                              </w:rPr>
                            </w:pPr>
                            <w:r w:rsidRPr="00B916EC">
                              <w:t xml:space="preserve">In DRX mode operation, the physical layer in the UE shall assess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9281E8" id="Text Box 4" o:spid="_x0000_s1028" type="#_x0000_t202" style="width:468.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" fillcolor="white [3201]" strokeweight=".5pt">
                <v:textbox style="mso-fit-shape-to-text:t">
                  <w:txbxContent>
                    <w:p w14:paraId="4DE29BFC" w14:textId="727C01CC" w:rsidR="00DA49B1" w:rsidRPr="00DA49B1" w:rsidRDefault="00DA49B1">
                      <w:pPr>
                        <w:rPr>
                          <w:lang w:val="en-US"/>
                        </w:rPr>
                      </w:pPr>
                      <w:r w:rsidRPr="00DA49B1">
                        <w:rPr>
                          <w:highlight w:val="green"/>
                          <w:lang w:val="en-US"/>
                        </w:rPr>
                        <w:t>Extract from 38.213, section 5:</w:t>
                      </w:r>
                    </w:p>
                    <w:p w14:paraId="1A5DE7D2" w14:textId="696B96F9" w:rsidR="00DA49B1" w:rsidRPr="00DA49B1" w:rsidRDefault="00DA49B1">
                      <w:pPr>
                        <w:rPr>
                          <w:lang w:val="en-US"/>
                        </w:rPr>
                      </w:pPr>
                      <w:r w:rsidRPr="00B916EC">
                        <w:t xml:space="preserve">In DRX mode operation, the physical layer in the UE shall assess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v:textbox>
                <w10:anchorlock/>
              </v:shape>
            </w:pict>
          </mc:Fallback>
        </mc:AlternateContent>
      </w:r>
    </w:p>
    <w:p w14:paraId="3F4C290F" w14:textId="38E65BEE" w:rsidR="00DA49B1" w:rsidRDefault="00DA49B1" w:rsidP="00251334">
      <w:r>
        <w:t xml:space="preserve">In DRX, the UE is not required to provide indications more often than once during every DRX period. This </w:t>
      </w:r>
      <w:r w:rsidR="000B1FC1">
        <w:t xml:space="preserve">relaxation has been introduced so that the UE can switch off parts of its hardware outside the ON durations in DRX. </w:t>
      </w:r>
    </w:p>
    <w:p w14:paraId="128F760C" w14:textId="2DD40B36" w:rsidR="00D41F0F" w:rsidRDefault="000B1FC1" w:rsidP="00251334">
      <w:r>
        <w:t xml:space="preserve">The UE may </w:t>
      </w:r>
      <w:r w:rsidR="00D41F0F">
        <w:t xml:space="preserve">be configured to </w:t>
      </w:r>
      <w:r>
        <w:t xml:space="preserve">use CSI-RS to perform RLM. As </w:t>
      </w:r>
      <w:r w:rsidR="00D41F0F">
        <w:t xml:space="preserve">all </w:t>
      </w:r>
      <w:r>
        <w:t>CSI-RS</w:t>
      </w:r>
      <w:r w:rsidR="00D41F0F">
        <w:t>s are</w:t>
      </w:r>
      <w:r>
        <w:t xml:space="preserve"> UE-specifically configured</w:t>
      </w:r>
      <w:r w:rsidR="00D41F0F">
        <w:t>, the NW activates them when they are needed. For RLM, it is thus sufficient if the NW transmits the CSI-RS when the UE is actually assessing the radio link quality. For DRX, this would mean during the ON periods. Clearly, by turning off the CSI-RS when it is not needed would reduce resource consumption in the NW. Hence. We propose</w:t>
      </w:r>
    </w:p>
    <w:p w14:paraId="0F2CDF56" w14:textId="458BDD05" w:rsidR="002611E7" w:rsidRPr="003A0E41" w:rsidRDefault="00DF0CD2" w:rsidP="002611E7">
      <w:pPr>
        <w:pStyle w:val="Proposal"/>
      </w:pPr>
      <w:bookmarkStart w:id="11" w:name="_Toc506470608"/>
      <w:r>
        <w:t>A UE i</w:t>
      </w:r>
      <w:r w:rsidR="00D41F0F">
        <w:t>n DRX</w:t>
      </w:r>
      <w:r>
        <w:t xml:space="preserve"> may </w:t>
      </w:r>
      <w:r w:rsidR="003B5589">
        <w:t>NOT</w:t>
      </w:r>
      <w:r w:rsidR="00D41F0F">
        <w:t xml:space="preserve"> assume that a CSI-RS </w:t>
      </w:r>
      <w:r w:rsidR="00D45E5C">
        <w:t xml:space="preserve">resource </w:t>
      </w:r>
      <w:r w:rsidR="00D41F0F">
        <w:t xml:space="preserve">used for </w:t>
      </w:r>
      <w:r w:rsidR="00D45E5C">
        <w:t xml:space="preserve">radio link monitoring </w:t>
      </w:r>
      <w:r w:rsidR="00D41F0F">
        <w:t xml:space="preserve">is present outside the </w:t>
      </w:r>
      <w:r w:rsidR="00D45E5C">
        <w:t>active time</w:t>
      </w:r>
      <w:r>
        <w:t>.</w:t>
      </w:r>
      <w:bookmarkEnd w:id="11"/>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0FA42C37" w14:textId="77777777" w:rsidR="00BD0547"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6469854" w:history="1">
        <w:r w:rsidR="00BD0547" w:rsidRPr="002B1A1C">
          <w:rPr>
            <w:rStyle w:val="Hyperlink"/>
          </w:rPr>
          <w:t>Observation 1</w:t>
        </w:r>
        <w:r w:rsidR="00BD0547">
          <w:rPr>
            <w:rFonts w:asciiTheme="minorHAnsi" w:eastAsiaTheme="minorEastAsia" w:hAnsiTheme="minorHAnsi" w:cstheme="minorBidi"/>
            <w:b w:val="0"/>
            <w:sz w:val="22"/>
            <w:lang w:val="sv-SE" w:eastAsia="sv-SE"/>
          </w:rPr>
          <w:tab/>
        </w:r>
        <w:r w:rsidR="00BD0547" w:rsidRPr="002B1A1C">
          <w:rPr>
            <w:rStyle w:val="Hyperlink"/>
          </w:rPr>
          <w:t>Due to the relatively small number of RLM-RSs, intra-cell mobility may require RRC involvement to avoid RLF, which contradicts RAN2 assumptions.</w:t>
        </w:r>
      </w:hyperlink>
    </w:p>
    <w:p w14:paraId="2840E5E4" w14:textId="77777777" w:rsidR="00BD0547" w:rsidRDefault="00040F3F">
      <w:pPr>
        <w:pStyle w:val="TOC1"/>
        <w:rPr>
          <w:rFonts w:asciiTheme="minorHAnsi" w:eastAsiaTheme="minorEastAsia" w:hAnsiTheme="minorHAnsi" w:cstheme="minorBidi"/>
          <w:b w:val="0"/>
          <w:sz w:val="22"/>
          <w:lang w:val="sv-SE" w:eastAsia="sv-SE"/>
        </w:rPr>
      </w:pPr>
      <w:hyperlink w:anchor="_Toc506469855" w:history="1">
        <w:r w:rsidR="00BD0547" w:rsidRPr="002B1A1C">
          <w:rPr>
            <w:rStyle w:val="Hyperlink"/>
          </w:rPr>
          <w:t>Observation 2</w:t>
        </w:r>
        <w:r w:rsidR="00BD0547">
          <w:rPr>
            <w:rFonts w:asciiTheme="minorHAnsi" w:eastAsiaTheme="minorEastAsia" w:hAnsiTheme="minorHAnsi" w:cstheme="minorBidi"/>
            <w:b w:val="0"/>
            <w:sz w:val="22"/>
            <w:lang w:val="sv-SE" w:eastAsia="sv-SE"/>
          </w:rPr>
          <w:tab/>
        </w:r>
        <w:r w:rsidR="00BD0547" w:rsidRPr="002B1A1C">
          <w:rPr>
            <w:rStyle w:val="Hyperlink"/>
          </w:rPr>
          <w:t>In a well-configured system, the indications based on the potentially reconfigured RLM-RS should stop indicating radio link problems after successful beam recovery. Explicit indications from successful beam recovery are thus unnecessary.</w:t>
        </w:r>
      </w:hyperlink>
    </w:p>
    <w:p w14:paraId="52E627AF" w14:textId="02BC5F64" w:rsidR="002611E7" w:rsidRPr="007144F0" w:rsidRDefault="00DC2639" w:rsidP="00E5689D">
      <w:pPr>
        <w:pStyle w:val="BodyText"/>
        <w:rPr>
          <w:b/>
          <w:bCs/>
        </w:rPr>
      </w:pPr>
      <w:r>
        <w:rPr>
          <w:b/>
          <w:bCs/>
        </w:rPr>
        <w:fldChar w:fldCharType="end"/>
      </w:r>
    </w:p>
    <w:p w14:paraId="1E54B509" w14:textId="77777777" w:rsidR="0011529C" w:rsidRDefault="002611E7" w:rsidP="00DC2639">
      <w:pPr>
        <w:pStyle w:val="BodyText"/>
        <w:rPr>
          <w:noProof/>
        </w:rPr>
      </w:pPr>
      <w:r>
        <w:t xml:space="preserve">We make the following </w:t>
      </w:r>
      <w:r w:rsidR="007144F0">
        <w:t>proposal</w:t>
      </w:r>
      <w:r>
        <w:t>:</w:t>
      </w:r>
      <w:r w:rsidR="00DC2639">
        <w:rPr>
          <w:b/>
          <w:bCs/>
        </w:rPr>
        <w:fldChar w:fldCharType="begin"/>
      </w:r>
      <w:r w:rsidR="00DC2639">
        <w:rPr>
          <w:b/>
          <w:bCs/>
        </w:rPr>
        <w:instrText xml:space="preserve"> TOC \f \n \p " " \h \z \t "Proposal;1" </w:instrText>
      </w:r>
      <w:r w:rsidR="00DC2639">
        <w:rPr>
          <w:b/>
          <w:bCs/>
        </w:rPr>
        <w:fldChar w:fldCharType="separate"/>
      </w:r>
    </w:p>
    <w:p w14:paraId="32B1D816" w14:textId="77777777" w:rsidR="0011529C" w:rsidRDefault="00040F3F">
      <w:pPr>
        <w:pStyle w:val="TOC1"/>
        <w:rPr>
          <w:rFonts w:asciiTheme="minorHAnsi" w:eastAsiaTheme="minorEastAsia" w:hAnsiTheme="minorHAnsi" w:cstheme="minorBidi"/>
          <w:b w:val="0"/>
          <w:sz w:val="22"/>
          <w:lang w:val="sv-SE" w:eastAsia="sv-SE"/>
        </w:rPr>
      </w:pPr>
      <w:hyperlink w:anchor="_Toc506470603" w:history="1">
        <w:r w:rsidR="0011529C" w:rsidRPr="00845A2F">
          <w:rPr>
            <w:rStyle w:val="Hyperlink"/>
          </w:rPr>
          <w:t>Proposal 1</w:t>
        </w:r>
        <w:r w:rsidR="0011529C">
          <w:rPr>
            <w:rFonts w:asciiTheme="minorHAnsi" w:eastAsiaTheme="minorEastAsia" w:hAnsiTheme="minorHAnsi" w:cstheme="minorBidi"/>
            <w:b w:val="0"/>
            <w:sz w:val="22"/>
            <w:lang w:val="sv-SE" w:eastAsia="sv-SE"/>
          </w:rPr>
          <w:tab/>
        </w:r>
        <w:r w:rsidR="0011529C" w:rsidRPr="00845A2F">
          <w:rPr>
            <w:rStyle w:val="Hyperlink"/>
          </w:rPr>
          <w:t>Introduce the possibility to activate RLM-RS resources using MAC CE.</w:t>
        </w:r>
      </w:hyperlink>
    </w:p>
    <w:p w14:paraId="6BBB9836" w14:textId="77777777" w:rsidR="0011529C" w:rsidRDefault="00040F3F">
      <w:pPr>
        <w:pStyle w:val="TOC1"/>
        <w:rPr>
          <w:rFonts w:asciiTheme="minorHAnsi" w:eastAsiaTheme="minorEastAsia" w:hAnsiTheme="minorHAnsi" w:cstheme="minorBidi"/>
          <w:b w:val="0"/>
          <w:sz w:val="22"/>
          <w:lang w:val="sv-SE" w:eastAsia="sv-SE"/>
        </w:rPr>
      </w:pPr>
      <w:hyperlink w:anchor="_Toc506470604" w:history="1">
        <w:r w:rsidR="0011529C" w:rsidRPr="00845A2F">
          <w:rPr>
            <w:rStyle w:val="Hyperlink"/>
          </w:rPr>
          <w:t>Proposal 2</w:t>
        </w:r>
        <w:r w:rsidR="0011529C">
          <w:rPr>
            <w:rFonts w:asciiTheme="minorHAnsi" w:eastAsiaTheme="minorEastAsia" w:hAnsiTheme="minorHAnsi" w:cstheme="minorBidi"/>
            <w:b w:val="0"/>
            <w:sz w:val="22"/>
            <w:lang w:val="sv-SE" w:eastAsia="sv-SE"/>
          </w:rPr>
          <w:tab/>
        </w:r>
        <w:r w:rsidR="0011529C" w:rsidRPr="00845A2F">
          <w:rPr>
            <w:rStyle w:val="Hyperlink"/>
          </w:rPr>
          <w:t>The UE is only required to monitor up to X activated RLM-RS resources.</w:t>
        </w:r>
      </w:hyperlink>
    </w:p>
    <w:p w14:paraId="16CB2FC1" w14:textId="77777777" w:rsidR="0011529C" w:rsidRDefault="00040F3F">
      <w:pPr>
        <w:pStyle w:val="TOC1"/>
        <w:rPr>
          <w:rFonts w:asciiTheme="minorHAnsi" w:eastAsiaTheme="minorEastAsia" w:hAnsiTheme="minorHAnsi" w:cstheme="minorBidi"/>
          <w:b w:val="0"/>
          <w:sz w:val="22"/>
          <w:lang w:val="sv-SE" w:eastAsia="sv-SE"/>
        </w:rPr>
      </w:pPr>
      <w:hyperlink w:anchor="_Toc506470605" w:history="1">
        <w:r w:rsidR="0011529C" w:rsidRPr="00845A2F">
          <w:rPr>
            <w:rStyle w:val="Hyperlink"/>
          </w:rPr>
          <w:t>Proposal 3</w:t>
        </w:r>
        <w:r w:rsidR="0011529C">
          <w:rPr>
            <w:rFonts w:asciiTheme="minorHAnsi" w:eastAsiaTheme="minorEastAsia" w:hAnsiTheme="minorHAnsi" w:cstheme="minorBidi"/>
            <w:b w:val="0"/>
            <w:sz w:val="22"/>
            <w:lang w:val="sv-SE" w:eastAsia="sv-SE"/>
          </w:rPr>
          <w:tab/>
        </w:r>
        <w:r w:rsidR="0011529C" w:rsidRPr="00845A2F">
          <w:rPr>
            <w:rStyle w:val="Hyperlink"/>
          </w:rPr>
          <w:t>Increase the maximum number of configured RLM-RS resources to be equal to the maximum number of SS/PBCH blocks per cell.</w:t>
        </w:r>
      </w:hyperlink>
    </w:p>
    <w:p w14:paraId="0BF3B464" w14:textId="77777777" w:rsidR="0011529C" w:rsidRDefault="00040F3F">
      <w:pPr>
        <w:pStyle w:val="TOC1"/>
        <w:rPr>
          <w:rFonts w:asciiTheme="minorHAnsi" w:eastAsiaTheme="minorEastAsia" w:hAnsiTheme="minorHAnsi" w:cstheme="minorBidi"/>
          <w:b w:val="0"/>
          <w:sz w:val="22"/>
          <w:lang w:val="sv-SE" w:eastAsia="sv-SE"/>
        </w:rPr>
      </w:pPr>
      <w:hyperlink w:anchor="_Toc506470606" w:history="1">
        <w:r w:rsidR="0011529C" w:rsidRPr="00845A2F">
          <w:rPr>
            <w:rStyle w:val="Hyperlink"/>
          </w:rPr>
          <w:t>Proposal 4</w:t>
        </w:r>
        <w:r w:rsidR="0011529C">
          <w:rPr>
            <w:rFonts w:asciiTheme="minorHAnsi" w:eastAsiaTheme="minorEastAsia" w:hAnsiTheme="minorHAnsi" w:cstheme="minorBidi"/>
            <w:b w:val="0"/>
            <w:sz w:val="22"/>
            <w:lang w:val="sv-SE" w:eastAsia="sv-SE"/>
          </w:rPr>
          <w:tab/>
        </w:r>
        <w:r w:rsidR="0011529C" w:rsidRPr="00845A2F">
          <w:rPr>
            <w:rStyle w:val="Hyperlink"/>
          </w:rPr>
          <w:t>Increase the minimum periodicity of RLM indications to 20ms.</w:t>
        </w:r>
      </w:hyperlink>
    </w:p>
    <w:p w14:paraId="1F5C196D" w14:textId="77777777" w:rsidR="0011529C" w:rsidRDefault="00040F3F">
      <w:pPr>
        <w:pStyle w:val="TOC1"/>
        <w:rPr>
          <w:rFonts w:asciiTheme="minorHAnsi" w:eastAsiaTheme="minorEastAsia" w:hAnsiTheme="minorHAnsi" w:cstheme="minorBidi"/>
          <w:b w:val="0"/>
          <w:sz w:val="22"/>
          <w:lang w:val="sv-SE" w:eastAsia="sv-SE"/>
        </w:rPr>
      </w:pPr>
      <w:hyperlink w:anchor="_Toc506470607" w:history="1">
        <w:r w:rsidR="0011529C" w:rsidRPr="00845A2F">
          <w:rPr>
            <w:rStyle w:val="Hyperlink"/>
          </w:rPr>
          <w:t>Proposal 5</w:t>
        </w:r>
        <w:r w:rsidR="0011529C">
          <w:rPr>
            <w:rFonts w:asciiTheme="minorHAnsi" w:eastAsiaTheme="minorEastAsia" w:hAnsiTheme="minorHAnsi" w:cstheme="minorBidi"/>
            <w:b w:val="0"/>
            <w:sz w:val="22"/>
            <w:lang w:val="sv-SE" w:eastAsia="sv-SE"/>
          </w:rPr>
          <w:tab/>
        </w:r>
        <w:r w:rsidR="0011529C" w:rsidRPr="00845A2F">
          <w:rPr>
            <w:rStyle w:val="Hyperlink"/>
          </w:rPr>
          <w:t>Unsuccessful beam recovery should not have any explicit impact on the RLM/RLF procedure.</w:t>
        </w:r>
      </w:hyperlink>
    </w:p>
    <w:p w14:paraId="2B482DCF" w14:textId="77777777" w:rsidR="0011529C" w:rsidRDefault="00040F3F">
      <w:pPr>
        <w:pStyle w:val="TOC1"/>
        <w:rPr>
          <w:rFonts w:asciiTheme="minorHAnsi" w:eastAsiaTheme="minorEastAsia" w:hAnsiTheme="minorHAnsi" w:cstheme="minorBidi"/>
          <w:b w:val="0"/>
          <w:sz w:val="22"/>
          <w:lang w:val="sv-SE" w:eastAsia="sv-SE"/>
        </w:rPr>
      </w:pPr>
      <w:hyperlink w:anchor="_Toc506470608" w:history="1">
        <w:r w:rsidR="0011529C" w:rsidRPr="00845A2F">
          <w:rPr>
            <w:rStyle w:val="Hyperlink"/>
          </w:rPr>
          <w:t>Proposal 6</w:t>
        </w:r>
        <w:r w:rsidR="0011529C">
          <w:rPr>
            <w:rFonts w:asciiTheme="minorHAnsi" w:eastAsiaTheme="minorEastAsia" w:hAnsiTheme="minorHAnsi" w:cstheme="minorBidi"/>
            <w:b w:val="0"/>
            <w:sz w:val="22"/>
            <w:lang w:val="sv-SE" w:eastAsia="sv-SE"/>
          </w:rPr>
          <w:tab/>
        </w:r>
        <w:r w:rsidR="0011529C" w:rsidRPr="00845A2F">
          <w:rPr>
            <w:rStyle w:val="Hyperlink"/>
          </w:rPr>
          <w:t>A UE in DRX may NOT assume that a CSI-RS resource used for radio link monitoring is present outside the active time.</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2" w:name="_In-sequence_SDU_delivery"/>
      <w:bookmarkEnd w:id="12"/>
      <w:r w:rsidRPr="00CE0424">
        <w:t>References</w:t>
      </w:r>
    </w:p>
    <w:p w14:paraId="3BC9304B" w14:textId="686F6584" w:rsidR="003A7EF3" w:rsidRDefault="0011529C" w:rsidP="0011529C">
      <w:pPr>
        <w:pStyle w:val="Reference"/>
      </w:pPr>
      <w:r>
        <w:t>R1-1801294, Draft CR to 3GPP TS 38.214 v 15.0.0, Nokia, February 2018</w:t>
      </w:r>
    </w:p>
    <w:p w14:paraId="1AEB3F4C" w14:textId="789DB183" w:rsidR="00251334" w:rsidRDefault="0011529C" w:rsidP="0011529C">
      <w:pPr>
        <w:pStyle w:val="Reference"/>
      </w:pPr>
      <w:bookmarkStart w:id="13" w:name="_Ref506462812"/>
      <w:r>
        <w:t xml:space="preserve">R1-1801293, Draft CR to 3GPP TS </w:t>
      </w:r>
      <w:r w:rsidR="00251334">
        <w:t>38.213</w:t>
      </w:r>
      <w:bookmarkEnd w:id="13"/>
      <w:r>
        <w:t xml:space="preserve"> v 15.0.0,</w:t>
      </w:r>
      <w:r w:rsidRPr="0011529C">
        <w:t xml:space="preserve"> Samsung,</w:t>
      </w:r>
      <w:r>
        <w:t xml:space="preserve"> February 2018</w:t>
      </w:r>
    </w:p>
    <w:p w14:paraId="47F6B9B5" w14:textId="329FD090" w:rsidR="0086271D" w:rsidRDefault="0086271D" w:rsidP="0086271D">
      <w:pPr>
        <w:pStyle w:val="Reference"/>
      </w:pPr>
      <w:bookmarkStart w:id="14" w:name="_Ref506459209"/>
      <w:r w:rsidRPr="0086271D">
        <w:t>R1-1800808</w:t>
      </w:r>
      <w:r>
        <w:t>,</w:t>
      </w:r>
      <w:r w:rsidRPr="0086271D">
        <w:t xml:space="preserve"> Remaining details on radio link monitoring</w:t>
      </w:r>
      <w:r>
        <w:t xml:space="preserve">, </w:t>
      </w:r>
      <w:r w:rsidRPr="0086271D">
        <w:t xml:space="preserve">Nokia, </w:t>
      </w:r>
      <w:r>
        <w:t>RAN1 AdHoc 1801, Vancouver, January 2018</w:t>
      </w:r>
      <w:bookmarkEnd w:id="14"/>
    </w:p>
    <w:p w14:paraId="38110220" w14:textId="63C5BB2C" w:rsidR="0084776C" w:rsidRPr="00CE0424" w:rsidRDefault="0084776C" w:rsidP="0084776C">
      <w:pPr>
        <w:pStyle w:val="Reference"/>
      </w:pPr>
      <w:bookmarkStart w:id="15" w:name="_Ref506465131"/>
      <w:r>
        <w:t>R1-</w:t>
      </w:r>
      <w:r w:rsidR="00BD0547">
        <w:t>1801251, Summary</w:t>
      </w:r>
      <w:r w:rsidRPr="0084776C">
        <w:t xml:space="preserve"> of Friday Offline Discussion for NR Radio Link Monitoring</w:t>
      </w:r>
      <w:r>
        <w:t>, Intel, RAN1 AdHoc 1801, Vancouver, January 2018</w:t>
      </w:r>
      <w:bookmarkEnd w:id="15"/>
    </w:p>
    <w:sectPr w:rsidR="0084776C"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E139" w14:textId="77777777" w:rsidR="00040F3F" w:rsidRDefault="00040F3F">
      <w:r>
        <w:separator/>
      </w:r>
    </w:p>
  </w:endnote>
  <w:endnote w:type="continuationSeparator" w:id="0">
    <w:p w14:paraId="594DC979" w14:textId="77777777" w:rsidR="00040F3F" w:rsidRDefault="0004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60AD2" w14:textId="77777777" w:rsidR="00040F3F" w:rsidRDefault="00040F3F">
      <w:r>
        <w:separator/>
      </w:r>
    </w:p>
  </w:footnote>
  <w:footnote w:type="continuationSeparator" w:id="0">
    <w:p w14:paraId="20D01394" w14:textId="77777777" w:rsidR="00040F3F" w:rsidRDefault="00040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2D0AD3"/>
    <w:multiLevelType w:val="hybridMultilevel"/>
    <w:tmpl w:val="E13C3C0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E28EE"/>
    <w:multiLevelType w:val="hybridMultilevel"/>
    <w:tmpl w:val="B726D4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9B17B6"/>
    <w:multiLevelType w:val="hybridMultilevel"/>
    <w:tmpl w:val="946A1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15"/>
  </w:num>
  <w:num w:numId="17">
    <w:abstractNumId w:val="5"/>
  </w:num>
  <w:num w:numId="18">
    <w:abstractNumId w:val="6"/>
  </w:num>
  <w:num w:numId="19">
    <w:abstractNumId w:val="18"/>
  </w:num>
  <w:num w:numId="20">
    <w:abstractNumId w:val="20"/>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F3F"/>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FC1"/>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29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669D7"/>
    <w:rsid w:val="00173A8E"/>
    <w:rsid w:val="0017793E"/>
    <w:rsid w:val="0018143F"/>
    <w:rsid w:val="00190AC1"/>
    <w:rsid w:val="0019341A"/>
    <w:rsid w:val="00197DF9"/>
    <w:rsid w:val="001A1987"/>
    <w:rsid w:val="001A2564"/>
    <w:rsid w:val="001A6173"/>
    <w:rsid w:val="001A6CBA"/>
    <w:rsid w:val="001B0D97"/>
    <w:rsid w:val="001B5A5D"/>
    <w:rsid w:val="001C1CE5"/>
    <w:rsid w:val="001C3D2A"/>
    <w:rsid w:val="001D0D69"/>
    <w:rsid w:val="001D0E11"/>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1334"/>
    <w:rsid w:val="00257543"/>
    <w:rsid w:val="00260B2B"/>
    <w:rsid w:val="002611E7"/>
    <w:rsid w:val="002617E7"/>
    <w:rsid w:val="00264228"/>
    <w:rsid w:val="00264334"/>
    <w:rsid w:val="0026473E"/>
    <w:rsid w:val="00266214"/>
    <w:rsid w:val="00267C83"/>
    <w:rsid w:val="0027144F"/>
    <w:rsid w:val="00271813"/>
    <w:rsid w:val="00271F3A"/>
    <w:rsid w:val="00273278"/>
    <w:rsid w:val="002737F4"/>
    <w:rsid w:val="002773F2"/>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19C6"/>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589"/>
    <w:rsid w:val="003B7FE5"/>
    <w:rsid w:val="003C11C8"/>
    <w:rsid w:val="003C2702"/>
    <w:rsid w:val="003C7806"/>
    <w:rsid w:val="003D109F"/>
    <w:rsid w:val="003D2478"/>
    <w:rsid w:val="003D3C45"/>
    <w:rsid w:val="003D5B1F"/>
    <w:rsid w:val="003E06AA"/>
    <w:rsid w:val="003E15FA"/>
    <w:rsid w:val="003E269D"/>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0F4F"/>
    <w:rsid w:val="004A16BC"/>
    <w:rsid w:val="004A2B94"/>
    <w:rsid w:val="004B7C0C"/>
    <w:rsid w:val="004C3898"/>
    <w:rsid w:val="004C52CB"/>
    <w:rsid w:val="004D36B1"/>
    <w:rsid w:val="004D7EBD"/>
    <w:rsid w:val="004E2680"/>
    <w:rsid w:val="004E28F9"/>
    <w:rsid w:val="004E462E"/>
    <w:rsid w:val="004E56DC"/>
    <w:rsid w:val="004E5BC0"/>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0B2C"/>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152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5EE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4F0"/>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424F"/>
    <w:rsid w:val="00785490"/>
    <w:rsid w:val="00790B99"/>
    <w:rsid w:val="007925EA"/>
    <w:rsid w:val="00793CD8"/>
    <w:rsid w:val="00795C92"/>
    <w:rsid w:val="00796231"/>
    <w:rsid w:val="0079676C"/>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0E20"/>
    <w:rsid w:val="008376AC"/>
    <w:rsid w:val="008444E8"/>
    <w:rsid w:val="00844E80"/>
    <w:rsid w:val="00846FE7"/>
    <w:rsid w:val="0084776C"/>
    <w:rsid w:val="00856911"/>
    <w:rsid w:val="0086271D"/>
    <w:rsid w:val="008677FD"/>
    <w:rsid w:val="008706D4"/>
    <w:rsid w:val="00870F8A"/>
    <w:rsid w:val="008719A4"/>
    <w:rsid w:val="00871D23"/>
    <w:rsid w:val="00874312"/>
    <w:rsid w:val="0087437C"/>
    <w:rsid w:val="00875CD7"/>
    <w:rsid w:val="00876B4D"/>
    <w:rsid w:val="00877F18"/>
    <w:rsid w:val="00886E8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99E"/>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A7E"/>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0088"/>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0B4E"/>
    <w:rsid w:val="00AD3F94"/>
    <w:rsid w:val="00AD4A5A"/>
    <w:rsid w:val="00AE27AC"/>
    <w:rsid w:val="00AE2842"/>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547"/>
    <w:rsid w:val="00BD1FAA"/>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22A"/>
    <w:rsid w:val="00C07377"/>
    <w:rsid w:val="00C10478"/>
    <w:rsid w:val="00C12107"/>
    <w:rsid w:val="00C14D4B"/>
    <w:rsid w:val="00C154BB"/>
    <w:rsid w:val="00C16FE9"/>
    <w:rsid w:val="00C279B5"/>
    <w:rsid w:val="00C27C45"/>
    <w:rsid w:val="00C3719D"/>
    <w:rsid w:val="00C439E3"/>
    <w:rsid w:val="00C500EF"/>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48C5"/>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F0F"/>
    <w:rsid w:val="00D4318F"/>
    <w:rsid w:val="00D438BF"/>
    <w:rsid w:val="00D440F8"/>
    <w:rsid w:val="00D45E5C"/>
    <w:rsid w:val="00D546FF"/>
    <w:rsid w:val="00D553A2"/>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9B1"/>
    <w:rsid w:val="00DA5417"/>
    <w:rsid w:val="00DA56E8"/>
    <w:rsid w:val="00DB0A9F"/>
    <w:rsid w:val="00DB377D"/>
    <w:rsid w:val="00DC2639"/>
    <w:rsid w:val="00DC2D36"/>
    <w:rsid w:val="00DC53EF"/>
    <w:rsid w:val="00DD7AD2"/>
    <w:rsid w:val="00DE5608"/>
    <w:rsid w:val="00DE58D0"/>
    <w:rsid w:val="00DE654F"/>
    <w:rsid w:val="00DF0B6E"/>
    <w:rsid w:val="00DF0CD2"/>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2FAA"/>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54C2"/>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9D1"/>
    <w:rsid w:val="00F8456C"/>
    <w:rsid w:val="00F859D8"/>
    <w:rsid w:val="00F868F5"/>
    <w:rsid w:val="00F9056A"/>
    <w:rsid w:val="00F90F8D"/>
    <w:rsid w:val="00F92782"/>
    <w:rsid w:val="00F93AA9"/>
    <w:rsid w:val="00F96985"/>
    <w:rsid w:val="00F97838"/>
    <w:rsid w:val="00FA1A15"/>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1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jc w:val="left"/>
    </w:pPr>
    <w:rPr>
      <w:noProof/>
      <w:lang w:eastAsia="en-US"/>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jc w:val="left"/>
    </w:pPr>
    <w:rPr>
      <w:color w:val="FF0000"/>
      <w:lang w:eastAsia="en-US"/>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rsid w:val="0070615A"/>
    <w:pPr>
      <w:spacing w:after="180"/>
      <w:jc w:val="left"/>
    </w:pPr>
    <w:rPr>
      <w:lang w:eastAsia="en-US"/>
    </w:rPr>
  </w:style>
  <w:style w:type="paragraph" w:customStyle="1" w:styleId="B2">
    <w:name w:val="B2"/>
    <w:basedOn w:val="List2"/>
    <w:rsid w:val="0070615A"/>
    <w:pPr>
      <w:spacing w:after="180"/>
      <w:jc w:val="left"/>
    </w:pPr>
    <w:rPr>
      <w:lang w:eastAsia="en-US"/>
    </w:rPr>
  </w:style>
  <w:style w:type="paragraph" w:customStyle="1" w:styleId="B3">
    <w:name w:val="B3"/>
    <w:basedOn w:val="List3"/>
    <w:rsid w:val="0070615A"/>
    <w:pPr>
      <w:spacing w:after="180"/>
      <w:jc w:val="left"/>
    </w:pPr>
    <w:rPr>
      <w:lang w:eastAsia="en-US"/>
    </w:rPr>
  </w:style>
  <w:style w:type="paragraph" w:customStyle="1" w:styleId="B4">
    <w:name w:val="B4"/>
    <w:basedOn w:val="List4"/>
    <w:rsid w:val="0070615A"/>
    <w:pPr>
      <w:spacing w:after="180"/>
      <w:jc w:val="left"/>
    </w:pPr>
    <w:rPr>
      <w:lang w:eastAsia="en-US"/>
    </w:r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jc w:val="left"/>
    </w:pPr>
    <w:rPr>
      <w:lang w:eastAsia="en-US"/>
    </w:rPr>
  </w:style>
  <w:style w:type="paragraph" w:customStyle="1" w:styleId="EX">
    <w:name w:val="EX"/>
    <w:basedOn w:val="Normal"/>
    <w:rsid w:val="0070615A"/>
    <w:pPr>
      <w:keepLines/>
      <w:spacing w:after="180"/>
      <w:ind w:left="1702" w:hanging="1418"/>
      <w:jc w:val="left"/>
    </w:pPr>
    <w:rPr>
      <w:lang w:eastAsia="en-US"/>
    </w:r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jc w:val="left"/>
    </w:pPr>
    <w:rPr>
      <w:sz w:val="18"/>
      <w:lang w:eastAsia="en-US"/>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lang w:eastAsia="en-US"/>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jc w:val="left"/>
    </w:pPr>
    <w:rPr>
      <w:lang w:eastAsia="en-US"/>
    </w:r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jc w:val="left"/>
    </w:pPr>
    <w:rPr>
      <w:b/>
    </w:rPr>
  </w:style>
  <w:style w:type="paragraph" w:styleId="Index4">
    <w:name w:val="index 4"/>
    <w:basedOn w:val="Normal"/>
    <w:next w:val="Normal"/>
    <w:autoRedefine/>
    <w:rsid w:val="0070615A"/>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C4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E986A-CDA7-425A-820B-832267D2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1749</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2018-02-16T20:34:00Z</dcterms:created>
  <dcterms:modified xsi:type="dcterms:W3CDTF">2018-02-16T20:34:00Z</dcterms:modified>
</cp:coreProperties>
</file>